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0" w:type="dxa"/>
        <w:tblCellMar>
          <w:left w:w="0" w:type="dxa"/>
          <w:right w:w="0" w:type="dxa"/>
        </w:tblCellMar>
        <w:tblLook w:val="00A0" w:firstRow="1" w:lastRow="0" w:firstColumn="1" w:lastColumn="0" w:noHBand="0" w:noVBand="0"/>
      </w:tblPr>
      <w:tblGrid>
        <w:gridCol w:w="9360"/>
      </w:tblGrid>
      <w:tr w:rsidR="00496F2B" w:rsidRPr="00384363" w:rsidTr="002537B4">
        <w:trPr>
          <w:tblCellSpacing w:w="0" w:type="dxa"/>
          <w:jc w:val="center"/>
        </w:trPr>
        <w:tc>
          <w:tcPr>
            <w:tcW w:w="0" w:type="auto"/>
            <w:vAlign w:val="center"/>
          </w:tcPr>
          <w:p w:rsidR="00496F2B" w:rsidRPr="00384363" w:rsidRDefault="00496F2B" w:rsidP="002537B4">
            <w:pPr>
              <w:rPr>
                <w:b/>
                <w:bCs/>
              </w:rPr>
            </w:pPr>
            <w:r>
              <w:rPr>
                <w:noProof/>
              </w:rPr>
              <w:drawing>
                <wp:inline distT="0" distB="0" distL="0" distR="0" wp14:anchorId="7B8E6EFA" wp14:editId="22446502">
                  <wp:extent cx="1743075" cy="11430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743075" cy="1143000"/>
                          </a:xfrm>
                          <a:prstGeom prst="rect">
                            <a:avLst/>
                          </a:prstGeom>
                          <a:noFill/>
                          <a:ln w="9525">
                            <a:noFill/>
                            <a:miter lim="800000"/>
                            <a:headEnd/>
                            <a:tailEnd/>
                          </a:ln>
                        </pic:spPr>
                      </pic:pic>
                    </a:graphicData>
                  </a:graphic>
                </wp:inline>
              </w:drawing>
            </w:r>
          </w:p>
        </w:tc>
      </w:tr>
      <w:tr w:rsidR="00496F2B" w:rsidRPr="00384363" w:rsidTr="002537B4">
        <w:trPr>
          <w:trHeight w:val="2520"/>
          <w:tblCellSpacing w:w="0" w:type="dxa"/>
          <w:jc w:val="center"/>
        </w:trPr>
        <w:tc>
          <w:tcPr>
            <w:tcW w:w="0" w:type="auto"/>
            <w:vAlign w:val="center"/>
          </w:tcPr>
          <w:p w:rsidR="00496F2B" w:rsidRPr="00384363" w:rsidRDefault="00496F2B" w:rsidP="002537B4">
            <w:pPr>
              <w:outlineLvl w:val="0"/>
              <w:rPr>
                <w:rFonts w:ascii="Book Antiqua" w:hAnsi="Book Antiqua"/>
                <w:b/>
              </w:rPr>
            </w:pPr>
            <w:bookmarkStart w:id="0" w:name="OLE_LINK2"/>
            <w:bookmarkStart w:id="1" w:name="OLE_LINK3"/>
            <w:r w:rsidRPr="00384363">
              <w:rPr>
                <w:rFonts w:ascii="Book Antiqua" w:hAnsi="Book Antiqua"/>
                <w:b/>
              </w:rPr>
              <w:t>GOVERNMENTAL POLICY GROUP, INC.</w:t>
            </w:r>
          </w:p>
          <w:p w:rsidR="00496F2B" w:rsidRPr="00384363" w:rsidRDefault="00496F2B" w:rsidP="002537B4">
            <w:pPr>
              <w:outlineLvl w:val="0"/>
              <w:rPr>
                <w:rFonts w:ascii="Book Antiqua" w:hAnsi="Book Antiqua"/>
                <w:sz w:val="18"/>
              </w:rPr>
            </w:pPr>
            <w:smartTag w:uri="urn:schemas-microsoft-com:office:smarttags" w:element="Street">
              <w:smartTag w:uri="urn:schemas-microsoft-com:office:smarttags" w:element="address">
                <w:r w:rsidRPr="00384363">
                  <w:rPr>
                    <w:rFonts w:ascii="Book Antiqua" w:hAnsi="Book Antiqua"/>
                    <w:sz w:val="18"/>
                  </w:rPr>
                  <w:t>17 SOUTH HIGH STREET</w:t>
                </w:r>
              </w:smartTag>
            </w:smartTag>
            <w:r w:rsidRPr="00384363">
              <w:rPr>
                <w:rFonts w:ascii="Book Antiqua" w:hAnsi="Book Antiqua"/>
                <w:sz w:val="18"/>
              </w:rPr>
              <w:t xml:space="preserve"> – </w:t>
            </w:r>
            <w:smartTag w:uri="urn:schemas-microsoft-com:office:smarttags" w:element="address">
              <w:smartTag w:uri="urn:schemas-microsoft-com:office:smarttags" w:element="Street">
                <w:r w:rsidRPr="00384363">
                  <w:rPr>
                    <w:rFonts w:ascii="Book Antiqua" w:hAnsi="Book Antiqua"/>
                    <w:sz w:val="18"/>
                  </w:rPr>
                  <w:t>SUITE</w:t>
                </w:r>
              </w:smartTag>
              <w:r w:rsidRPr="00384363">
                <w:rPr>
                  <w:rFonts w:ascii="Book Antiqua" w:hAnsi="Book Antiqua"/>
                  <w:sz w:val="18"/>
                </w:rPr>
                <w:t xml:space="preserve"> 245</w:t>
              </w:r>
            </w:smartTag>
          </w:p>
          <w:p w:rsidR="00496F2B" w:rsidRPr="00384363" w:rsidRDefault="00496F2B" w:rsidP="002537B4">
            <w:pPr>
              <w:outlineLvl w:val="0"/>
              <w:rPr>
                <w:rFonts w:ascii="Book Antiqua" w:hAnsi="Book Antiqua"/>
                <w:sz w:val="18"/>
              </w:rPr>
            </w:pPr>
            <w:smartTag w:uri="urn:schemas-microsoft-com:office:smarttags" w:element="place">
              <w:smartTag w:uri="urn:schemas-microsoft-com:office:smarttags" w:element="City">
                <w:r w:rsidRPr="00384363">
                  <w:rPr>
                    <w:rFonts w:ascii="Book Antiqua" w:hAnsi="Book Antiqua"/>
                    <w:sz w:val="18"/>
                  </w:rPr>
                  <w:t>COLUMBUS</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OHIO</w:t>
                </w:r>
              </w:smartTag>
              <w:r w:rsidRPr="00384363">
                <w:rPr>
                  <w:rFonts w:ascii="Book Antiqua" w:hAnsi="Book Antiqua"/>
                  <w:sz w:val="18"/>
                </w:rPr>
                <w:t xml:space="preserve"> </w:t>
              </w:r>
              <w:smartTag w:uri="urn:schemas-microsoft-com:office:smarttags" w:element="PostalCode">
                <w:r w:rsidRPr="00384363">
                  <w:rPr>
                    <w:rFonts w:ascii="Book Antiqua" w:hAnsi="Book Antiqua"/>
                    <w:sz w:val="18"/>
                  </w:rPr>
                  <w:t>43215-3413</w:t>
                </w:r>
              </w:smartTag>
            </w:smartTag>
          </w:p>
          <w:p w:rsidR="00496F2B" w:rsidRPr="00384363" w:rsidRDefault="00496F2B" w:rsidP="002537B4">
            <w:pPr>
              <w:rPr>
                <w:rFonts w:ascii="Book Antiqua" w:hAnsi="Book Antiqua"/>
                <w:sz w:val="18"/>
              </w:rPr>
            </w:pPr>
            <w:r w:rsidRPr="00384363">
              <w:rPr>
                <w:rFonts w:ascii="Book Antiqua" w:hAnsi="Book Antiqua"/>
                <w:sz w:val="18"/>
              </w:rPr>
              <w:t>PHONE: 614-461-9335</w:t>
            </w:r>
          </w:p>
          <w:p w:rsidR="00496F2B" w:rsidRPr="00384363" w:rsidRDefault="00496F2B" w:rsidP="002537B4">
            <w:pPr>
              <w:rPr>
                <w:rFonts w:ascii="Book Antiqua" w:hAnsi="Book Antiqua"/>
                <w:sz w:val="18"/>
              </w:rPr>
            </w:pPr>
            <w:r w:rsidRPr="00384363">
              <w:rPr>
                <w:rFonts w:ascii="Book Antiqua" w:hAnsi="Book Antiqua"/>
                <w:sz w:val="18"/>
              </w:rPr>
              <w:t>FAX: 614-461-9336</w:t>
            </w:r>
            <w:bookmarkEnd w:id="0"/>
            <w:bookmarkEnd w:id="1"/>
          </w:p>
          <w:p w:rsidR="00496F2B" w:rsidRPr="00384363" w:rsidRDefault="00496F2B" w:rsidP="002537B4">
            <w:pPr>
              <w:jc w:val="center"/>
              <w:rPr>
                <w:b/>
                <w:bCs/>
                <w:sz w:val="15"/>
                <w:szCs w:val="15"/>
              </w:rPr>
            </w:pPr>
          </w:p>
          <w:p w:rsidR="00496F2B" w:rsidRDefault="0025571D" w:rsidP="002537B4">
            <w:pPr>
              <w:pStyle w:val="Title"/>
              <w:rPr>
                <w:szCs w:val="24"/>
              </w:rPr>
            </w:pPr>
            <w:r>
              <w:rPr>
                <w:szCs w:val="24"/>
              </w:rPr>
              <w:t xml:space="preserve">Coalition of Ohio Regional Districts </w:t>
            </w:r>
          </w:p>
          <w:p w:rsidR="00496F2B" w:rsidRDefault="00496F2B" w:rsidP="002537B4">
            <w:pPr>
              <w:pStyle w:val="Title"/>
              <w:rPr>
                <w:szCs w:val="24"/>
              </w:rPr>
            </w:pPr>
            <w:r>
              <w:rPr>
                <w:szCs w:val="24"/>
              </w:rPr>
              <w:t>Legislative Activities Report</w:t>
            </w:r>
          </w:p>
          <w:p w:rsidR="00496F2B" w:rsidRDefault="006B7FBA" w:rsidP="002537B4">
            <w:pPr>
              <w:spacing w:line="240" w:lineRule="auto"/>
              <w:jc w:val="center"/>
              <w:rPr>
                <w:b/>
                <w:bCs/>
              </w:rPr>
            </w:pPr>
            <w:r>
              <w:rPr>
                <w:b/>
                <w:bCs/>
              </w:rPr>
              <w:t>August</w:t>
            </w:r>
            <w:r w:rsidR="00496F2B">
              <w:rPr>
                <w:b/>
                <w:bCs/>
              </w:rPr>
              <w:t xml:space="preserve"> 2017 </w:t>
            </w:r>
          </w:p>
          <w:p w:rsidR="00496F2B" w:rsidRPr="00384363" w:rsidRDefault="00496F2B" w:rsidP="002537B4">
            <w:pPr>
              <w:rPr>
                <w:b/>
                <w:bCs/>
              </w:rPr>
            </w:pPr>
          </w:p>
        </w:tc>
      </w:tr>
    </w:tbl>
    <w:p w:rsidR="006B7FBA" w:rsidRDefault="006B7FBA" w:rsidP="006B7FBA">
      <w:pPr>
        <w:ind w:firstLine="720"/>
      </w:pPr>
      <w:r>
        <w:t xml:space="preserve">Both the House and Senate have now entered summer recess after a hectic budget cycle, which saw the House override 11 of Governor Kasich’s 47 vetoes. While the Senate has yet to act on the veto overrides, it is important to note that they have until the end of the General Assembly to address them. The House is also able to override additional vetoes should leadership feel the need in the future. The Ohio Senate </w:t>
      </w:r>
      <w:r w:rsidR="00370AA7">
        <w:t>h</w:t>
      </w:r>
      <w:r>
        <w:t>as scheduled session on August 16</w:t>
      </w:r>
      <w:r w:rsidRPr="0039764A">
        <w:rPr>
          <w:vertAlign w:val="superscript"/>
        </w:rPr>
        <w:t>th</w:t>
      </w:r>
      <w:r>
        <w:t xml:space="preserve"> and 23</w:t>
      </w:r>
      <w:r w:rsidRPr="0039764A">
        <w:rPr>
          <w:vertAlign w:val="superscript"/>
        </w:rPr>
        <w:t>rd</w:t>
      </w:r>
      <w:r>
        <w:t xml:space="preserve">. The House is not scheduled to return until mid-September. </w:t>
      </w:r>
    </w:p>
    <w:p w:rsidR="006B7FBA" w:rsidRDefault="006B7FBA" w:rsidP="006B7FBA">
      <w:pPr>
        <w:ind w:firstLine="720"/>
      </w:pPr>
    </w:p>
    <w:p w:rsidR="006B7FBA" w:rsidRDefault="006B7FBA" w:rsidP="006B7FBA">
      <w:pPr>
        <w:ind w:firstLine="720"/>
      </w:pPr>
      <w:r>
        <w:t xml:space="preserve">Also of note, opponents to the practice of submetering have </w:t>
      </w:r>
      <w:r w:rsidR="001C5EBD">
        <w:t>requested a rehearing for the clo</w:t>
      </w:r>
      <w:r>
        <w:t>s</w:t>
      </w:r>
      <w:r w:rsidR="001C5EBD">
        <w:t>e</w:t>
      </w:r>
      <w:r>
        <w:t xml:space="preserve">ly-watched case that saw the PUCO decide that submetering </w:t>
      </w:r>
      <w:r w:rsidR="001C5EBD">
        <w:t>rates cannot</w:t>
      </w:r>
      <w:r>
        <w:t xml:space="preserve"> exceed that of regulated utilities. The commission’s ruling essentially reserved the right for the PUCO to step in should a submetering company’s charges exceed that of its regulated counterparts. It also determined that the commission would enforce that standard on a case by case basis. Despite the ruling, utilities and consumer advocates argue the decision does little to protect Ohioans from the practice of submetering.</w:t>
      </w:r>
    </w:p>
    <w:p w:rsidR="006B7FBA" w:rsidRDefault="006B7FBA" w:rsidP="006B7FBA">
      <w:pPr>
        <w:ind w:firstLine="720"/>
      </w:pPr>
    </w:p>
    <w:p w:rsidR="006B7FBA" w:rsidRDefault="006B7FBA" w:rsidP="006B7FBA">
      <w:pPr>
        <w:ind w:firstLine="720"/>
      </w:pPr>
      <w:r>
        <w:t xml:space="preserve">In other headlines, Governor John Kasich recently signed a bill aimed at strengthening the state’s environmental regulatory authority. The legislation, SB 2, bolsters the Lake Erie Commission, updates construction and demolition debris disposal regulations, and requires all public water systems to establish asset management plans. “Improving Lake Erie and protecting our environment has been a priority for our administration and we are pleased that our package of reforms received such overwhelming bipartisan support,” a spokesman for Governor Kasich said. Through discussions with the Kasich Administration, we expect a second bill containing </w:t>
      </w:r>
      <w:r w:rsidR="001C5EBD">
        <w:t xml:space="preserve">additional </w:t>
      </w:r>
      <w:r>
        <w:t xml:space="preserve">compressive EPA reforms to be introduced in the fall.  </w:t>
      </w:r>
    </w:p>
    <w:p w:rsidR="006B7FBA" w:rsidRDefault="006B7FBA" w:rsidP="006B7FBA">
      <w:pPr>
        <w:ind w:firstLine="720"/>
      </w:pPr>
    </w:p>
    <w:p w:rsidR="006B7FBA" w:rsidRDefault="006B7FBA" w:rsidP="006B7FBA">
      <w:pPr>
        <w:ind w:firstLine="720"/>
      </w:pPr>
      <w:r>
        <w:t xml:space="preserve">Also of interest, campaign finance reports were recently released showing fund-raising efforts for the first six months of the year. In the race for governor, U.S. Rep. Jim </w:t>
      </w:r>
      <w:proofErr w:type="spellStart"/>
      <w:r>
        <w:t>Renacci</w:t>
      </w:r>
      <w:proofErr w:type="spellEnd"/>
      <w:r>
        <w:t xml:space="preserve"> raised </w:t>
      </w:r>
      <w:r>
        <w:lastRenderedPageBreak/>
        <w:t xml:space="preserve">the most with $5.575 million, although $4 million of that came from his own funds. </w:t>
      </w:r>
      <w:proofErr w:type="spellStart"/>
      <w:r>
        <w:t>Renacci</w:t>
      </w:r>
      <w:proofErr w:type="spellEnd"/>
      <w:r>
        <w:t xml:space="preserve"> has $4.379 million on hand. Attorney General Mike DeWine reported $4.674 million on hand, Secretary of State Jon Husted reported $4.277 million on hand and Lt. Gov. Mary Taylor has $436,883 on hand. </w:t>
      </w:r>
      <w:r w:rsidRPr="001F4058">
        <w:t>Among the Democratic candidates for governor, state Sen. Joe Schiavoni, R-Boardman, raised $370,729 for a balance of $245,251. Former U.S. Rep. Betty Sutton, R-Barberton, brought in $276,043 and reported a balance of $209,680. Former Rep. Connie Pillich, of Montgomery, was the top fundraiser, generating $551,855. She had $720,526 on hand.</w:t>
      </w:r>
      <w:r>
        <w:t xml:space="preserve"> Dayton Mayor Nan Whaley, raised $465,635 and had $394,662 on hand in her mayoral campaign account. </w:t>
      </w:r>
      <w:r w:rsidRPr="001F4058">
        <w:t>She cannot create a state fund-raising account until she completes her simultaneous campaign for mayor this fall.</w:t>
      </w:r>
      <w:r>
        <w:t xml:space="preserve"> Republican caucuses in the Ohio House and Senate also outpaced their Democratic counterparts in fundraising. In the Senate, the Republican Senate Campaign Committee raised $2.5 million and had that same amount in the bank at the close of the period. Ohio Senate Democrats, by contrast, reported receiving $69,566 - $68,468 of which was spent - leaving them with $3,883 on hand.</w:t>
      </w:r>
      <w:r w:rsidRPr="001F4058">
        <w:t xml:space="preserve"> </w:t>
      </w:r>
      <w:r>
        <w:t>In the House, the Ohio House Republican Organizational Committee raised $2.8 million and had nearly $2.6 million remaining on hand after $431,047 in expenditures. The House Democratic Caucus Fund reported taking in $417,844, spending $187,755 and an on-hand balance of $251,792.</w:t>
      </w:r>
    </w:p>
    <w:p w:rsidR="00B66ED8" w:rsidRDefault="00B66ED8" w:rsidP="00B66ED8">
      <w:pPr>
        <w:spacing w:line="240" w:lineRule="auto"/>
      </w:pPr>
    </w:p>
    <w:p w:rsidR="00FB68D2" w:rsidRDefault="00FB68D2" w:rsidP="00B66ED8">
      <w:pPr>
        <w:spacing w:line="240" w:lineRule="auto"/>
      </w:pPr>
      <w:r>
        <w:tab/>
        <w:t>We have been tracking the following legislation during the 132</w:t>
      </w:r>
      <w:r w:rsidRPr="0057053E">
        <w:rPr>
          <w:vertAlign w:val="superscript"/>
        </w:rPr>
        <w:t>nd</w:t>
      </w:r>
      <w:r>
        <w:t xml:space="preserve"> General Assembly: </w:t>
      </w:r>
    </w:p>
    <w:p w:rsidR="00E614F0" w:rsidRDefault="00E614F0" w:rsidP="00FB68D2"/>
    <w:tbl>
      <w:tblPr>
        <w:tblW w:w="5000" w:type="pct"/>
        <w:tblCellSpacing w:w="15" w:type="dxa"/>
        <w:tblCellMar>
          <w:left w:w="0" w:type="dxa"/>
          <w:right w:w="0" w:type="dxa"/>
        </w:tblCellMar>
        <w:tblLook w:val="04A0" w:firstRow="1" w:lastRow="0" w:firstColumn="1" w:lastColumn="0" w:noHBand="0" w:noVBand="1"/>
      </w:tblPr>
      <w:tblGrid>
        <w:gridCol w:w="752"/>
        <w:gridCol w:w="2310"/>
        <w:gridCol w:w="6298"/>
      </w:tblGrid>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HB3</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DATAOHIO BOARD CREATION</w:t>
            </w:r>
            <w:r w:rsidRPr="00B262A3">
              <w:rPr>
                <w:rFonts w:eastAsia="Times New Roman"/>
                <w:color w:val="000000"/>
                <w:szCs w:val="24"/>
              </w:rPr>
              <w:t> (DUFFEY M, HAGAN C) To create the DataOhio Board, to specify requirements for posting public records online, to require the Auditor of State to adopt rules regarding a uniform accounting system for public offices, to establish an online catalog of public data at data.Ohio.gov, to establish the Local Government Information Exchange Grant Program, and to make appropriations.</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2/8/2017 - Referred to Committee House Finance</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HB26</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TRANSPORTATION-PUBLIC SAFETY BUDGET</w:t>
            </w:r>
            <w:r w:rsidRPr="00B262A3">
              <w:rPr>
                <w:rFonts w:eastAsia="Times New Roman"/>
                <w:color w:val="000000"/>
                <w:szCs w:val="24"/>
              </w:rPr>
              <w:t> (MCCOLLEY R) To make appropriations for programs related to transportation and public safety for the biennium beginning July 1, 2017, and ending June 30, 2019, and to provide authorization and conditions for the operation of those programs.</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3/31/2017 - </w:t>
            </w:r>
            <w:r w:rsidRPr="00B262A3">
              <w:rPr>
                <w:rFonts w:eastAsia="Times New Roman"/>
                <w:b/>
                <w:bCs/>
                <w:color w:val="000000"/>
                <w:szCs w:val="24"/>
              </w:rPr>
              <w:t>SIGNED BY GOVERNOR</w:t>
            </w:r>
            <w:r w:rsidRPr="00B262A3">
              <w:rPr>
                <w:rFonts w:eastAsia="Times New Roman"/>
                <w:color w:val="000000"/>
                <w:szCs w:val="24"/>
              </w:rPr>
              <w:t>; Some provisions line-item vetoed, eff. 90 days</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HB29</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MUNICIPAL WATER RESERVOIR BUFFERS</w:t>
            </w:r>
            <w:r w:rsidRPr="00B262A3">
              <w:rPr>
                <w:rFonts w:eastAsia="Times New Roman"/>
                <w:color w:val="000000"/>
                <w:szCs w:val="24"/>
              </w:rPr>
              <w:t> (LELAND D, BOGGS K) To eliminate law authorizing the maintenance of buffers around municipal water reservoirs by contiguous property owners.</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4/25/2017 - House Energy and Natural Resources, (First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HB31</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CONTRACTING ADVISORY COUNCIL-ABOLITION</w:t>
            </w:r>
            <w:r w:rsidRPr="00B262A3">
              <w:rPr>
                <w:rFonts w:eastAsia="Times New Roman"/>
                <w:color w:val="000000"/>
                <w:szCs w:val="24"/>
              </w:rPr>
              <w:t> (CUPP B) To abolish the Government Contracting Advisory Council.</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6/21/2017 - Senate Government Oversight and Reform, (First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HB40</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GOVERNMENT EXPENDITURE DATABASE</w:t>
            </w:r>
            <w:r w:rsidRPr="00B262A3">
              <w:rPr>
                <w:rFonts w:eastAsia="Times New Roman"/>
                <w:color w:val="000000"/>
                <w:szCs w:val="24"/>
              </w:rPr>
              <w:t> (DEVER J, GREENSPAN D) To require the Treasurer of State to establish the Ohio State Government Expenditure Database.</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2/28/2017 - House State and Local Government, (Third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HB49</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OPERATING BUDGET</w:t>
            </w:r>
            <w:r w:rsidRPr="00B262A3">
              <w:rPr>
                <w:rFonts w:eastAsia="Times New Roman"/>
                <w:color w:val="000000"/>
                <w:szCs w:val="24"/>
              </w:rPr>
              <w:t> (SMITH R) Creates FY 2018-2019 main operating budget.</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7/6/2017 - Consideration of Governor's Veto; Remaining Veto Items Left Pending by House</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HB51</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DEPARTMENT REVIEW SCHEDULE</w:t>
            </w:r>
            <w:r w:rsidRPr="00B262A3">
              <w:rPr>
                <w:rFonts w:eastAsia="Times New Roman"/>
                <w:color w:val="000000"/>
                <w:szCs w:val="24"/>
              </w:rPr>
              <w:t> (FABER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5/16/2017 - </w:t>
            </w:r>
            <w:r w:rsidRPr="00B262A3">
              <w:rPr>
                <w:rFonts w:eastAsia="Times New Roman"/>
                <w:b/>
                <w:bCs/>
                <w:color w:val="000000"/>
                <w:szCs w:val="24"/>
              </w:rPr>
              <w:t>REPORTED OUT AS AMENDED</w:t>
            </w:r>
            <w:r w:rsidRPr="00B262A3">
              <w:rPr>
                <w:rFonts w:eastAsia="Times New Roman"/>
                <w:color w:val="000000"/>
                <w:szCs w:val="24"/>
              </w:rPr>
              <w:t>, House State and Local Government, (Fourth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HB54</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STATE REVENUE OBLIGATIONS</w:t>
            </w:r>
            <w:r w:rsidRPr="00B262A3">
              <w:rPr>
                <w:rFonts w:eastAsia="Times New Roman"/>
                <w:color w:val="000000"/>
                <w:szCs w:val="24"/>
              </w:rPr>
              <w:t xml:space="preserve"> (BLESSING III L) To authorize the Treasurer of State to issue revenue obligations of the state </w:t>
            </w:r>
            <w:proofErr w:type="gramStart"/>
            <w:r w:rsidRPr="00B262A3">
              <w:rPr>
                <w:rFonts w:eastAsia="Times New Roman"/>
                <w:color w:val="000000"/>
                <w:szCs w:val="24"/>
              </w:rPr>
              <w:t>for the purpose of</w:t>
            </w:r>
            <w:proofErr w:type="gramEnd"/>
            <w:r w:rsidRPr="00B262A3">
              <w:rPr>
                <w:rFonts w:eastAsia="Times New Roman"/>
                <w:color w:val="000000"/>
                <w:szCs w:val="24"/>
              </w:rPr>
              <w:t xml:space="preserve"> making loans to qualifying public entities for their acquisition of permanent improvements through the Treasurer of State's purchase of public obligations of those qualifying entities.</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3/15/2017 - Referred to Committee Senate Finance</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HB69</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LEVY REVENUE REIMBURSEMENT</w:t>
            </w:r>
            <w:r w:rsidRPr="00B262A3">
              <w:rPr>
                <w:rFonts w:eastAsia="Times New Roman"/>
                <w:color w:val="000000"/>
                <w:szCs w:val="24"/>
              </w:rPr>
              <w:t> (CUPP B) To require reimbursement of certain township fire and emergency medical service levy revenue forgone because of the creation of a municipal tax increment financing district.</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6/28/2017 - Referred to Committee Senate Ways and Means</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HB103</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FISCAL EMERGENCY PROVISIONS</w:t>
            </w:r>
            <w:r w:rsidRPr="00B262A3">
              <w:rPr>
                <w:rFonts w:eastAsia="Times New Roman"/>
                <w:color w:val="000000"/>
                <w:szCs w:val="24"/>
              </w:rPr>
              <w:t> (REINEKE W) To modify the composition and powers of the financial planning and supervision commission of a political subdivision that is in a state of fiscal emergency and to clarify the duties of that political subdivision.</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7/17/2017 - </w:t>
            </w:r>
            <w:r w:rsidRPr="00B262A3">
              <w:rPr>
                <w:rFonts w:eastAsia="Times New Roman"/>
                <w:b/>
                <w:bCs/>
                <w:color w:val="000000"/>
                <w:szCs w:val="24"/>
              </w:rPr>
              <w:t>SIGNED BY GOVERNOR</w:t>
            </w:r>
            <w:r w:rsidRPr="00B262A3">
              <w:rPr>
                <w:rFonts w:eastAsia="Times New Roman"/>
                <w:color w:val="000000"/>
                <w:szCs w:val="24"/>
              </w:rPr>
              <w:t>; Eff. 90 days</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HB114</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RENEWABLE ENERGY STANDARDS</w:t>
            </w:r>
            <w:r w:rsidRPr="00B262A3">
              <w:rPr>
                <w:rFonts w:eastAsia="Times New Roman"/>
                <w:color w:val="000000"/>
                <w:szCs w:val="24"/>
              </w:rPr>
              <w:t> (BLESSING III L) To revise the provisions governing renewable energy, energy efficiency, and peak demand reduction and to alter funding allocations under the Home Energy Assistance Program.</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6/14/2017 - Senate Energy and Natural Resources, (Second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HB121</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PIPE MATERIAL SPECIFICATIONS</w:t>
            </w:r>
            <w:r w:rsidRPr="00B262A3">
              <w:rPr>
                <w:rFonts w:eastAsia="Times New Roman"/>
                <w:color w:val="000000"/>
                <w:szCs w:val="24"/>
              </w:rPr>
              <w:t> (EDWARDS J) To require a public authority to consider all piping materials that meet the engineering specifications for a state-funded water or waste water project.</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5/9/2017 - House State and Local Government, (Third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HB122</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ESTABLISH ECONOMIC STUDY COMMITTEE</w:t>
            </w:r>
            <w:r w:rsidRPr="00B262A3">
              <w:rPr>
                <w:rFonts w:eastAsia="Times New Roman"/>
                <w:color w:val="000000"/>
                <w:szCs w:val="24"/>
              </w:rPr>
              <w:t> (HAMBLEY S, ROGERS J) To establish a Regional Economic Development Alliance Study Committee to study the benefits and challenges involved in creating regional economic development alliances.</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5/9/2017 - </w:t>
            </w:r>
            <w:r w:rsidRPr="00B262A3">
              <w:rPr>
                <w:rFonts w:eastAsia="Times New Roman"/>
                <w:b/>
                <w:bCs/>
                <w:color w:val="000000"/>
                <w:szCs w:val="24"/>
              </w:rPr>
              <w:t>REPORTED OUT</w:t>
            </w:r>
            <w:r w:rsidRPr="00B262A3">
              <w:rPr>
                <w:rFonts w:eastAsia="Times New Roman"/>
                <w:color w:val="000000"/>
                <w:szCs w:val="24"/>
              </w:rPr>
              <w:t>, House State and Local Government, (Third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HB163</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PREVAILING WAGE PUBLIC IMPROVEMENT PROJECTS</w:t>
            </w:r>
            <w:r w:rsidRPr="00B262A3">
              <w:rPr>
                <w:rFonts w:eastAsia="Times New Roman"/>
                <w:color w:val="000000"/>
                <w:szCs w:val="24"/>
              </w:rPr>
              <w:t> (ROEGNER K, RIEDEL C) To allow political subdivisions, special districts, and state institutions of higher education to elect to apply the Prevailing Wage Law to public improvement projects.</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5/9/2017 - House Economic Development, Commerce and Labor, (First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HB180</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EQUAL PAY ACT</w:t>
            </w:r>
            <w:r w:rsidRPr="00B262A3">
              <w:rPr>
                <w:rFonts w:eastAsia="Times New Roman"/>
                <w:color w:val="000000"/>
                <w:szCs w:val="24"/>
              </w:rPr>
              <w:t> (CLYDE K, HOWSE S) To require a contractor or person submitting a bid or other proposal for a state contract or a business entity applying for a grant or other economic incentive from a state agency to obtain an equal pay certificate, to require state agencies and political subdivisions to establish a job evaluation system to identify and eliminate sex-based wage disparities among classes of employees, and to prohibit an employer from retaliating against an employee who discusses the employee's salary or wage rate with another employee.</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5/1/2017 - Referred to Committee House Government Accountability and Oversight</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HB221</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PRIVATE PROPERTY SEWER AND WATER</w:t>
            </w:r>
            <w:r w:rsidRPr="00B262A3">
              <w:rPr>
                <w:rFonts w:eastAsia="Times New Roman"/>
                <w:color w:val="000000"/>
                <w:szCs w:val="24"/>
              </w:rPr>
              <w:t> (HOLMES G) To expressly include, as eligible projects under the State Capital Improvements Program administered by the Ohio Public Works Commission, water and sewer laterals located on private property.</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5/23/2017 - Referred to Committee House Finance</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HB249</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RESIDENTIAL UTILITY RESELLING</w:t>
            </w:r>
            <w:r w:rsidRPr="00B262A3">
              <w:rPr>
                <w:rFonts w:eastAsia="Times New Roman"/>
                <w:color w:val="000000"/>
                <w:szCs w:val="24"/>
              </w:rPr>
              <w:t> (DUFFEY M) To permit the Public Utilities Commission to adopt rules governing residential utility reselling.</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6/6/2017 - Referred to Committee House Public Utilities</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HB254</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POW/MIA REMEMBERANCE</w:t>
            </w:r>
            <w:r w:rsidRPr="00B262A3">
              <w:rPr>
                <w:rFonts w:eastAsia="Times New Roman"/>
                <w:color w:val="000000"/>
                <w:szCs w:val="24"/>
              </w:rPr>
              <w:t> (WIGGAM S) To enact the POW/MIA Remembrance Act requiring the POW/MIA flag to be displayed at certain buildings operated by the state on Armed Forces Day, Memorial Day, Flag Day, Independence Day, National POW/MIA Recognition Day, and Veterans' Day.</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6/6/2017 - Referred to Committee House Armed Services, Veterans Affairs and Homeland Security</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HB262</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INDEPENDENT BUDGET PROCESS</w:t>
            </w:r>
            <w:r w:rsidRPr="00B262A3">
              <w:rPr>
                <w:rFonts w:eastAsia="Times New Roman"/>
                <w:color w:val="000000"/>
                <w:szCs w:val="24"/>
              </w:rPr>
              <w:t> (BUTLER, JR. J, ROMANCHUK M) To provide for the preparation of a state biennial budget independent of that submitted by the Governor and to authorize the Legislative Service Commission, upon the request of the Speaker of the House of Representatives or the President of the Senate, to arrange for an independent actuarial review of a proposed bill, specified analyses of economic policy initiatives and state benchmarking data, and a study of the state's long-range financial outlook.</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6/20/2017 - Referred to Committee House Government Accountability and Oversight</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HB267</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LOCAL LIABILITY-VEHICLE NEGLIGENCE</w:t>
            </w:r>
            <w:r w:rsidRPr="00B262A3">
              <w:rPr>
                <w:rFonts w:eastAsia="Times New Roman"/>
                <w:color w:val="000000"/>
                <w:szCs w:val="24"/>
              </w:rPr>
              <w:t> (INGRAM C) To eliminate certain defenses to political subdivision liability for an employee's negligent operation of a motor vehicle and to reduce damages recoverable against a political subdivision in such actions by the contributory fault of the plaintiff or other parties.</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6/20/2017 - Referred to Committee House Civil Justice</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HB271</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ACCESSIBILITY LAW VIOLATION NOTICE</w:t>
            </w:r>
            <w:r w:rsidRPr="00B262A3">
              <w:rPr>
                <w:rFonts w:eastAsia="Times New Roman"/>
                <w:color w:val="000000"/>
                <w:szCs w:val="24"/>
              </w:rPr>
              <w:t> (MCCOLLEY R, REZABEK J) To authorize an alleged aggrieved party to provide a notice of an alleged accessibility law violation in advance of filing a civil action and to establish the circumstances under which an alleged aggrieved party is entitled to attorney's fees in a civil action based on the violation.</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6/20/2017 - Referred to Committee House Civil Justice</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HB276</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THREATENING UTILITY WORKERS</w:t>
            </w:r>
            <w:r w:rsidRPr="00B262A3">
              <w:rPr>
                <w:rFonts w:eastAsia="Times New Roman"/>
                <w:color w:val="000000"/>
                <w:szCs w:val="24"/>
              </w:rPr>
              <w:t> (REZABEK J, GREENSPAN D) To expand the offense of aggravated menacing to prohibit threatening a utility worker with intent to obstruct the operation of a utility.</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6/20/2017 - Referred to Committee House Criminal Justice</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HB291</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EMPLOYEE DISHONESTY INSURANCE</w:t>
            </w:r>
            <w:r w:rsidRPr="00B262A3">
              <w:rPr>
                <w:rFonts w:eastAsia="Times New Roman"/>
                <w:color w:val="000000"/>
                <w:szCs w:val="24"/>
              </w:rPr>
              <w:t> (WIGGAM S) To authorize counties, townships, and municipal corporations to purchase an employee dishonesty and faithful performance of duty insurance policy, instead of a bond, for protection from loss due to the fraudulent or dishonest actions of, and the failure to perform a duty prescribed by law by, an officer, official, employee, or appointee for which a bond is required by law.</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6/26/2017 - Introduced</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HB303</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SERVICE ANIMAL USE</w:t>
            </w:r>
            <w:r w:rsidRPr="00B262A3">
              <w:rPr>
                <w:rFonts w:eastAsia="Times New Roman"/>
                <w:color w:val="000000"/>
                <w:szCs w:val="24"/>
              </w:rPr>
              <w:t> (LIPPS S, KELLY B) To prohibit places of public accommodation from preventing the use of a service animal.</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7/5/2017 - Introduced</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HB312</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LOCAL GOVERNMENT CREDIT CARDS</w:t>
            </w:r>
            <w:r w:rsidRPr="00B262A3">
              <w:rPr>
                <w:rFonts w:eastAsia="Times New Roman"/>
                <w:color w:val="000000"/>
                <w:szCs w:val="24"/>
              </w:rPr>
              <w:t> (SCHURING K, GREENSPAN D) Regarding use of credit cards and debit cards by political subdivisions.</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7/26/2017 - Introduced</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SB2</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ENVIRONMENTAL PROTECTIONS LAWS</w:t>
            </w:r>
            <w:r w:rsidRPr="00B262A3">
              <w:rPr>
                <w:rFonts w:eastAsia="Times New Roman"/>
                <w:color w:val="000000"/>
                <w:szCs w:val="24"/>
              </w:rPr>
              <w:t> (HITE C) To revise specified laws relating to environmental protection.</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7/7/2017 - </w:t>
            </w:r>
            <w:r w:rsidRPr="00B262A3">
              <w:rPr>
                <w:rFonts w:eastAsia="Times New Roman"/>
                <w:b/>
                <w:bCs/>
                <w:color w:val="000000"/>
                <w:szCs w:val="24"/>
              </w:rPr>
              <w:t>SIGNED BY GOVERNOR</w:t>
            </w:r>
            <w:r w:rsidRPr="00B262A3">
              <w:rPr>
                <w:rFonts w:eastAsia="Times New Roman"/>
                <w:color w:val="000000"/>
                <w:szCs w:val="24"/>
              </w:rPr>
              <w:t>; eff. 90 days</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SB3</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WORKFORCE DEVELOPMENT</w:t>
            </w:r>
            <w:r w:rsidRPr="00B262A3">
              <w:rPr>
                <w:rFonts w:eastAsia="Times New Roman"/>
                <w:color w:val="000000"/>
                <w:szCs w:val="24"/>
              </w:rPr>
              <w:t> (BEAGLE B, BALDERSON T) To revise the laws governing the state's workforce development system, programs that may be offered by primary and secondary schools, certificates of qualification for employment, and the Opportunities for Ohioans with Disabilities Agency, and to designate the first week of May as In-Demand Jobs Week.</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6/21/2017 - </w:t>
            </w:r>
            <w:r w:rsidRPr="00B262A3">
              <w:rPr>
                <w:rFonts w:eastAsia="Times New Roman"/>
                <w:b/>
                <w:bCs/>
                <w:color w:val="000000"/>
                <w:szCs w:val="24"/>
              </w:rPr>
              <w:t>BILL AMENDED</w:t>
            </w:r>
            <w:r w:rsidRPr="00B262A3">
              <w:rPr>
                <w:rFonts w:eastAsia="Times New Roman"/>
                <w:color w:val="000000"/>
                <w:szCs w:val="24"/>
              </w:rPr>
              <w:t>, House Higher Education and Workforce Development, (Third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SB31</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HEALTH RULE WITHDRAW PROCESS</w:t>
            </w:r>
            <w:r w:rsidRPr="00B262A3">
              <w:rPr>
                <w:rFonts w:eastAsia="Times New Roman"/>
                <w:color w:val="000000"/>
                <w:szCs w:val="24"/>
              </w:rPr>
              <w:t> (EKLUND J) To authorize a board of county commissioners or municipal legislative authority to elect to withdraw the county or municipal corporation from the application of any rule adopted by the Department of Health after January 1, 2014, that governs the design of household sewage treatment systems.</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3/1/2017 - Senate Energy and Natural Resources, (First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SB51</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LAKE ERIE IMPROVEMENT DISTRICT</w:t>
            </w:r>
            <w:r w:rsidRPr="00B262A3">
              <w:rPr>
                <w:rFonts w:eastAsia="Times New Roman"/>
                <w:color w:val="000000"/>
                <w:szCs w:val="24"/>
              </w:rPr>
              <w:t> (SKINDELL M, EKLUND J) To authorize the creation of a special improvement district to facilitate Lake Erie shoreline improvement.</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3/29/2017 - Senate Energy and Natural Resources, (Second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SB72</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PREVAILING WAGE LAW</w:t>
            </w:r>
            <w:r w:rsidRPr="00B262A3">
              <w:rPr>
                <w:rFonts w:eastAsia="Times New Roman"/>
                <w:color w:val="000000"/>
                <w:szCs w:val="24"/>
              </w:rPr>
              <w:t> (HUFFMAN M) To allow political subdivisions, special districts, and state institutions of higher education to elect to apply the Prevailing Wage Law to public improvement projects.</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3/7/2017 - Referred to Committee Senate Finance</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SB79</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STATE DEPARTMENTAL REVIEW SCHEDULE</w:t>
            </w:r>
            <w:r w:rsidRPr="00B262A3">
              <w:rPr>
                <w:rFonts w:eastAsia="Times New Roman"/>
                <w:color w:val="000000"/>
                <w:szCs w:val="24"/>
              </w:rPr>
              <w:t> (JORDAN K) To require standing committees of the General Assembly to establish a schedule for the periodic review and sunset of state departments that are currently in the Governor's cabinet, and to require that Auditor of State performance audits be scheduled to coincide with the periodic review.</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6/28/2017 - </w:t>
            </w:r>
            <w:r w:rsidRPr="00B262A3">
              <w:rPr>
                <w:rFonts w:eastAsia="Times New Roman"/>
                <w:b/>
                <w:bCs/>
                <w:color w:val="000000"/>
                <w:szCs w:val="24"/>
              </w:rPr>
              <w:t>PASSED BY SENATE</w:t>
            </w:r>
            <w:r w:rsidRPr="00B262A3">
              <w:rPr>
                <w:rFonts w:eastAsia="Times New Roman"/>
                <w:color w:val="000000"/>
                <w:szCs w:val="24"/>
              </w:rPr>
              <w:t>; Vote 24-9</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SB88</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SUBDIVISION COMMISSIONS-FISCAL EMERGENCY</w:t>
            </w:r>
            <w:r w:rsidRPr="00B262A3">
              <w:rPr>
                <w:rFonts w:eastAsia="Times New Roman"/>
                <w:color w:val="000000"/>
                <w:szCs w:val="24"/>
              </w:rPr>
              <w:t> (TERHAR L) To modify the composition and powers of the financial planning and supervision commission of a political subdivision that is in a state of fiscal emergency and to clarify the duties of that political subdivision.</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5/9/2017 - Referred to Committee House Government Accountability and Oversight</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SB95</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STATE PROJECTS-PIPING MATERIALS</w:t>
            </w:r>
            <w:r w:rsidRPr="00B262A3">
              <w:rPr>
                <w:rFonts w:eastAsia="Times New Roman"/>
                <w:color w:val="000000"/>
                <w:szCs w:val="24"/>
              </w:rPr>
              <w:t> (TERHAR L) To require a public authority to consider all piping materials that meet the engineering specifications for a state-funded water or waste water project.</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4/5/2017 - Senate Energy and Natural Resources, (First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SB157</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PUBLIC UTILITY RESELLING REGULATION</w:t>
            </w:r>
            <w:r w:rsidRPr="00B262A3">
              <w:rPr>
                <w:rFonts w:eastAsia="Times New Roman"/>
                <w:color w:val="000000"/>
                <w:szCs w:val="24"/>
              </w:rPr>
              <w:t> (BACON K) To regulate the reselling of public utility service.</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6/28/2017 - </w:t>
            </w:r>
            <w:r w:rsidRPr="00B262A3">
              <w:rPr>
                <w:rFonts w:eastAsia="Times New Roman"/>
                <w:b/>
                <w:bCs/>
                <w:color w:val="000000"/>
                <w:szCs w:val="24"/>
              </w:rPr>
              <w:t>BILL AMENDED</w:t>
            </w:r>
            <w:r w:rsidRPr="00B262A3">
              <w:rPr>
                <w:rFonts w:eastAsia="Times New Roman"/>
                <w:color w:val="000000"/>
                <w:szCs w:val="24"/>
              </w:rPr>
              <w:t>, Senate Public Utilities, (Fourth Hearing)</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SB168</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MEDICAID EXPANSION</w:t>
            </w:r>
            <w:r w:rsidRPr="00B262A3">
              <w:rPr>
                <w:rFonts w:eastAsia="Times New Roman"/>
                <w:color w:val="000000"/>
                <w:szCs w:val="24"/>
              </w:rPr>
              <w:t> (JORDAN K) To prohibit the Medicaid program from covering the expansion eligibility group and to require aggregate General Revenue Fund appropriations for state agencies to be reduced by specified amounts for the biennium beginning July 1, 2017, and ending on June 30, 2019.</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6/28/2017 - Referred to Committee Senate Finance</w:t>
            </w:r>
          </w:p>
        </w:tc>
      </w:tr>
      <w:tr w:rsidR="00B262A3" w:rsidRPr="00B262A3" w:rsidTr="00B262A3">
        <w:trPr>
          <w:tblCellSpacing w:w="15" w:type="dxa"/>
        </w:trPr>
        <w:tc>
          <w:tcPr>
            <w:tcW w:w="0" w:type="auto"/>
            <w:gridSpan w:val="3"/>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r>
      <w:tr w:rsidR="00B262A3" w:rsidRPr="00B262A3" w:rsidTr="00B262A3">
        <w:trPr>
          <w:tblCellSpacing w:w="15" w:type="dxa"/>
        </w:trPr>
        <w:tc>
          <w:tcPr>
            <w:tcW w:w="350" w:type="pct"/>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SJR4</w:t>
            </w:r>
          </w:p>
        </w:tc>
        <w:tc>
          <w:tcPr>
            <w:tcW w:w="0" w:type="auto"/>
            <w:gridSpan w:val="2"/>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b/>
                <w:bCs/>
                <w:color w:val="000000"/>
                <w:szCs w:val="24"/>
              </w:rPr>
              <w:t>CAPITAL IMPROVEMENTS FUNDING</w:t>
            </w:r>
            <w:r w:rsidRPr="00B262A3">
              <w:rPr>
                <w:rFonts w:eastAsia="Times New Roman"/>
                <w:color w:val="000000"/>
                <w:szCs w:val="24"/>
              </w:rPr>
              <w:t> (SCHIAVONI J) Proposing to enact Section 2t of Article VIII of the Constitution of the State of Ohio to permit the issuance of general obligation bonds to fund sewer and water capital improvements.</w:t>
            </w:r>
          </w:p>
        </w:tc>
      </w:tr>
      <w:tr w:rsidR="00B262A3" w:rsidRPr="00B262A3" w:rsidTr="00B262A3">
        <w:trPr>
          <w:tblCellSpacing w:w="15" w:type="dxa"/>
        </w:trPr>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 </w:t>
            </w:r>
          </w:p>
        </w:tc>
        <w:tc>
          <w:tcPr>
            <w:tcW w:w="1250" w:type="pct"/>
            <w:hideMark/>
          </w:tcPr>
          <w:p w:rsidR="00B262A3" w:rsidRPr="00B262A3" w:rsidRDefault="00B262A3" w:rsidP="00B262A3">
            <w:pPr>
              <w:spacing w:line="240" w:lineRule="auto"/>
              <w:jc w:val="right"/>
              <w:rPr>
                <w:rFonts w:eastAsia="Times New Roman"/>
                <w:color w:val="000000"/>
                <w:sz w:val="18"/>
                <w:szCs w:val="18"/>
              </w:rPr>
            </w:pPr>
            <w:proofErr w:type="gramStart"/>
            <w:r w:rsidRPr="00B262A3">
              <w:rPr>
                <w:rFonts w:eastAsia="Times New Roman"/>
                <w:b/>
                <w:bCs/>
                <w:i/>
                <w:iCs/>
                <w:color w:val="000000"/>
                <w:sz w:val="18"/>
                <w:szCs w:val="18"/>
              </w:rPr>
              <w:t>Current Status</w:t>
            </w:r>
            <w:proofErr w:type="gramEnd"/>
            <w:r w:rsidRPr="00B262A3">
              <w:rPr>
                <w:rFonts w:eastAsia="Times New Roman"/>
                <w:b/>
                <w:bCs/>
                <w:i/>
                <w:iCs/>
                <w:color w:val="000000"/>
                <w:sz w:val="18"/>
                <w:szCs w:val="18"/>
              </w:rPr>
              <w:t>:   </w:t>
            </w:r>
          </w:p>
        </w:tc>
        <w:tc>
          <w:tcPr>
            <w:tcW w:w="0" w:type="auto"/>
            <w:vAlign w:val="center"/>
            <w:hideMark/>
          </w:tcPr>
          <w:p w:rsidR="00B262A3" w:rsidRPr="00B262A3" w:rsidRDefault="00B262A3" w:rsidP="00B262A3">
            <w:pPr>
              <w:spacing w:line="240" w:lineRule="auto"/>
              <w:rPr>
                <w:rFonts w:eastAsia="Times New Roman"/>
                <w:color w:val="000000"/>
                <w:szCs w:val="24"/>
              </w:rPr>
            </w:pPr>
            <w:r w:rsidRPr="00B262A3">
              <w:rPr>
                <w:rFonts w:eastAsia="Times New Roman"/>
                <w:color w:val="000000"/>
                <w:szCs w:val="24"/>
              </w:rPr>
              <w:t>3/7/2017 - Referred to Committee Senate Finance</w:t>
            </w:r>
          </w:p>
        </w:tc>
      </w:tr>
    </w:tbl>
    <w:p w:rsidR="00E614F0" w:rsidRDefault="00E614F0" w:rsidP="00FB68D2">
      <w:bookmarkStart w:id="2" w:name="_GoBack"/>
      <w:bookmarkEnd w:id="2"/>
    </w:p>
    <w:sectPr w:rsidR="00E614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2B"/>
    <w:rsid w:val="0012279F"/>
    <w:rsid w:val="001C5EBD"/>
    <w:rsid w:val="002261D2"/>
    <w:rsid w:val="00227299"/>
    <w:rsid w:val="0025571D"/>
    <w:rsid w:val="002C5810"/>
    <w:rsid w:val="00370AA7"/>
    <w:rsid w:val="00402D8E"/>
    <w:rsid w:val="00496F2B"/>
    <w:rsid w:val="004C2B84"/>
    <w:rsid w:val="006B7FBA"/>
    <w:rsid w:val="00A27F91"/>
    <w:rsid w:val="00AE6507"/>
    <w:rsid w:val="00B262A3"/>
    <w:rsid w:val="00B66ED8"/>
    <w:rsid w:val="00DB6B63"/>
    <w:rsid w:val="00E614F0"/>
    <w:rsid w:val="00E823D3"/>
    <w:rsid w:val="00FB6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003308"/>
  <w15:chartTrackingRefBased/>
  <w15:docId w15:val="{3D3175B2-7CEE-431D-9A3E-BEE1E51D3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6F2B"/>
    <w:pPr>
      <w:spacing w:after="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496F2B"/>
    <w:pPr>
      <w:spacing w:line="240" w:lineRule="auto"/>
      <w:jc w:val="center"/>
    </w:pPr>
    <w:rPr>
      <w:rFonts w:eastAsia="Times New Roman"/>
      <w:b/>
      <w:szCs w:val="20"/>
    </w:rPr>
  </w:style>
  <w:style w:type="character" w:customStyle="1" w:styleId="TitleChar">
    <w:name w:val="Title Char"/>
    <w:basedOn w:val="DefaultParagraphFont"/>
    <w:link w:val="Title"/>
    <w:uiPriority w:val="99"/>
    <w:rsid w:val="00496F2B"/>
    <w:rPr>
      <w:rFonts w:eastAsia="Times New Roman" w:cs="Times New Roman"/>
      <w:b/>
      <w:szCs w:val="20"/>
    </w:rPr>
  </w:style>
  <w:style w:type="character" w:styleId="Strong">
    <w:name w:val="Strong"/>
    <w:basedOn w:val="DefaultParagraphFont"/>
    <w:uiPriority w:val="22"/>
    <w:qFormat/>
    <w:rsid w:val="002C5810"/>
    <w:rPr>
      <w:b/>
      <w:bCs/>
    </w:rPr>
  </w:style>
  <w:style w:type="character" w:customStyle="1" w:styleId="apple-converted-space">
    <w:name w:val="apple-converted-space"/>
    <w:basedOn w:val="DefaultParagraphFont"/>
    <w:rsid w:val="002C5810"/>
  </w:style>
  <w:style w:type="paragraph" w:styleId="BalloonText">
    <w:name w:val="Balloon Text"/>
    <w:basedOn w:val="Normal"/>
    <w:link w:val="BalloonTextChar"/>
    <w:uiPriority w:val="99"/>
    <w:semiHidden/>
    <w:unhideWhenUsed/>
    <w:rsid w:val="004C2B8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B8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412441">
      <w:bodyDiv w:val="1"/>
      <w:marLeft w:val="0"/>
      <w:marRight w:val="0"/>
      <w:marTop w:val="0"/>
      <w:marBottom w:val="0"/>
      <w:divBdr>
        <w:top w:val="none" w:sz="0" w:space="0" w:color="auto"/>
        <w:left w:val="none" w:sz="0" w:space="0" w:color="auto"/>
        <w:bottom w:val="none" w:sz="0" w:space="0" w:color="auto"/>
        <w:right w:val="none" w:sz="0" w:space="0" w:color="auto"/>
      </w:divBdr>
    </w:div>
    <w:div w:id="1435245252">
      <w:bodyDiv w:val="1"/>
      <w:marLeft w:val="0"/>
      <w:marRight w:val="0"/>
      <w:marTop w:val="0"/>
      <w:marBottom w:val="0"/>
      <w:divBdr>
        <w:top w:val="none" w:sz="0" w:space="0" w:color="auto"/>
        <w:left w:val="none" w:sz="0" w:space="0" w:color="auto"/>
        <w:bottom w:val="none" w:sz="0" w:space="0" w:color="auto"/>
        <w:right w:val="none" w:sz="0" w:space="0" w:color="auto"/>
      </w:divBdr>
    </w:div>
    <w:div w:id="1701394323">
      <w:bodyDiv w:val="1"/>
      <w:marLeft w:val="0"/>
      <w:marRight w:val="0"/>
      <w:marTop w:val="0"/>
      <w:marBottom w:val="0"/>
      <w:divBdr>
        <w:top w:val="none" w:sz="0" w:space="0" w:color="auto"/>
        <w:left w:val="none" w:sz="0" w:space="0" w:color="auto"/>
        <w:bottom w:val="none" w:sz="0" w:space="0" w:color="auto"/>
        <w:right w:val="none" w:sz="0" w:space="0" w:color="auto"/>
      </w:divBdr>
    </w:div>
    <w:div w:id="1714113714">
      <w:bodyDiv w:val="1"/>
      <w:marLeft w:val="0"/>
      <w:marRight w:val="0"/>
      <w:marTop w:val="0"/>
      <w:marBottom w:val="0"/>
      <w:divBdr>
        <w:top w:val="none" w:sz="0" w:space="0" w:color="auto"/>
        <w:left w:val="none" w:sz="0" w:space="0" w:color="auto"/>
        <w:bottom w:val="none" w:sz="0" w:space="0" w:color="auto"/>
        <w:right w:val="none" w:sz="0" w:space="0" w:color="auto"/>
      </w:divBdr>
    </w:div>
    <w:div w:id="190186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2400</Words>
  <Characters>13683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Andrew</cp:lastModifiedBy>
  <cp:revision>3</cp:revision>
  <cp:lastPrinted>2017-08-01T14:27:00Z</cp:lastPrinted>
  <dcterms:created xsi:type="dcterms:W3CDTF">2017-08-01T15:19:00Z</dcterms:created>
  <dcterms:modified xsi:type="dcterms:W3CDTF">2017-08-01T15:21:00Z</dcterms:modified>
</cp:coreProperties>
</file>