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827E2B" w:rsidRPr="00827E2B" w:rsidTr="0031461B">
        <w:trPr>
          <w:tblCellSpacing w:w="0" w:type="dxa"/>
          <w:jc w:val="center"/>
        </w:trPr>
        <w:tc>
          <w:tcPr>
            <w:tcW w:w="0" w:type="auto"/>
            <w:vAlign w:val="center"/>
          </w:tcPr>
          <w:p w:rsidR="00827E2B" w:rsidRPr="00827E2B" w:rsidRDefault="00827E2B" w:rsidP="00827E2B">
            <w:pPr>
              <w:spacing w:after="0" w:line="276" w:lineRule="auto"/>
              <w:rPr>
                <w:rFonts w:eastAsia="Calibri" w:cs="Times New Roman"/>
                <w:b/>
                <w:bCs/>
              </w:rPr>
            </w:pPr>
            <w:r w:rsidRPr="00827E2B">
              <w:rPr>
                <w:rFonts w:eastAsia="Calibri" w:cs="Times New Roman"/>
                <w:noProof/>
              </w:rPr>
              <w:drawing>
                <wp:inline distT="0" distB="0" distL="0" distR="0" wp14:anchorId="002BD63E" wp14:editId="2CC6B5EE">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827E2B" w:rsidRPr="00827E2B" w:rsidTr="0031461B">
        <w:trPr>
          <w:trHeight w:val="2520"/>
          <w:tblCellSpacing w:w="0" w:type="dxa"/>
          <w:jc w:val="center"/>
        </w:trPr>
        <w:tc>
          <w:tcPr>
            <w:tcW w:w="0" w:type="auto"/>
            <w:vAlign w:val="center"/>
          </w:tcPr>
          <w:p w:rsidR="00827E2B" w:rsidRPr="00827E2B" w:rsidRDefault="00827E2B" w:rsidP="00827E2B">
            <w:pPr>
              <w:spacing w:after="0" w:line="276" w:lineRule="auto"/>
              <w:outlineLvl w:val="0"/>
              <w:rPr>
                <w:rFonts w:ascii="Book Antiqua" w:eastAsia="Calibri" w:hAnsi="Book Antiqua" w:cs="Times New Roman"/>
                <w:b/>
              </w:rPr>
            </w:pPr>
            <w:bookmarkStart w:id="0" w:name="OLE_LINK2"/>
            <w:bookmarkStart w:id="1" w:name="OLE_LINK3"/>
            <w:r w:rsidRPr="00827E2B">
              <w:rPr>
                <w:rFonts w:ascii="Book Antiqua" w:eastAsia="Calibri" w:hAnsi="Book Antiqua" w:cs="Times New Roman"/>
                <w:b/>
              </w:rPr>
              <w:t>GOVERNMENTAL POLICY GROUP, INC.</w:t>
            </w:r>
          </w:p>
          <w:p w:rsidR="00827E2B" w:rsidRPr="00827E2B" w:rsidRDefault="00827E2B" w:rsidP="00827E2B">
            <w:pPr>
              <w:spacing w:after="0" w:line="276" w:lineRule="auto"/>
              <w:outlineLvl w:val="0"/>
              <w:rPr>
                <w:rFonts w:ascii="Book Antiqua" w:eastAsia="Calibri" w:hAnsi="Book Antiqua" w:cs="Times New Roman"/>
                <w:sz w:val="18"/>
              </w:rPr>
            </w:pPr>
            <w:smartTag w:uri="urn:schemas-microsoft-com:office:smarttags" w:element="Street">
              <w:smartTag w:uri="urn:schemas-microsoft-com:office:smarttags" w:element="address">
                <w:r w:rsidRPr="00827E2B">
                  <w:rPr>
                    <w:rFonts w:ascii="Book Antiqua" w:eastAsia="Calibri" w:hAnsi="Book Antiqua" w:cs="Times New Roman"/>
                    <w:sz w:val="18"/>
                  </w:rPr>
                  <w:t>17 SOUTH HIGH STREET</w:t>
                </w:r>
              </w:smartTag>
            </w:smartTag>
            <w:r w:rsidRPr="00827E2B">
              <w:rPr>
                <w:rFonts w:ascii="Book Antiqua" w:eastAsia="Calibri" w:hAnsi="Book Antiqua" w:cs="Times New Roman"/>
                <w:sz w:val="18"/>
              </w:rPr>
              <w:t xml:space="preserve"> – </w:t>
            </w:r>
            <w:smartTag w:uri="urn:schemas-microsoft-com:office:smarttags" w:element="address">
              <w:smartTag w:uri="urn:schemas-microsoft-com:office:smarttags" w:element="Street">
                <w:r w:rsidRPr="00827E2B">
                  <w:rPr>
                    <w:rFonts w:ascii="Book Antiqua" w:eastAsia="Calibri" w:hAnsi="Book Antiqua" w:cs="Times New Roman"/>
                    <w:sz w:val="18"/>
                  </w:rPr>
                  <w:t>SUITE</w:t>
                </w:r>
              </w:smartTag>
              <w:r w:rsidRPr="00827E2B">
                <w:rPr>
                  <w:rFonts w:ascii="Book Antiqua" w:eastAsia="Calibri" w:hAnsi="Book Antiqua" w:cs="Times New Roman"/>
                  <w:sz w:val="18"/>
                </w:rPr>
                <w:t xml:space="preserve"> 245</w:t>
              </w:r>
            </w:smartTag>
          </w:p>
          <w:p w:rsidR="00827E2B" w:rsidRPr="00827E2B" w:rsidRDefault="00827E2B" w:rsidP="00827E2B">
            <w:pPr>
              <w:spacing w:after="0" w:line="276" w:lineRule="auto"/>
              <w:outlineLvl w:val="0"/>
              <w:rPr>
                <w:rFonts w:ascii="Book Antiqua" w:eastAsia="Calibri" w:hAnsi="Book Antiqua" w:cs="Times New Roman"/>
                <w:sz w:val="18"/>
              </w:rPr>
            </w:pPr>
            <w:smartTag w:uri="urn:schemas-microsoft-com:office:smarttags" w:element="place">
              <w:smartTag w:uri="urn:schemas-microsoft-com:office:smarttags" w:element="City">
                <w:r w:rsidRPr="00827E2B">
                  <w:rPr>
                    <w:rFonts w:ascii="Book Antiqua" w:eastAsia="Calibri" w:hAnsi="Book Antiqua" w:cs="Times New Roman"/>
                    <w:sz w:val="18"/>
                  </w:rPr>
                  <w:t>COLUMBUS</w:t>
                </w:r>
              </w:smartTag>
              <w:r w:rsidRPr="00827E2B">
                <w:rPr>
                  <w:rFonts w:ascii="Book Antiqua" w:eastAsia="Calibri" w:hAnsi="Book Antiqua" w:cs="Times New Roman"/>
                  <w:sz w:val="18"/>
                </w:rPr>
                <w:t xml:space="preserve">, </w:t>
              </w:r>
              <w:smartTag w:uri="urn:schemas-microsoft-com:office:smarttags" w:element="PostalCode">
                <w:r w:rsidRPr="00827E2B">
                  <w:rPr>
                    <w:rFonts w:ascii="Book Antiqua" w:eastAsia="Calibri" w:hAnsi="Book Antiqua" w:cs="Times New Roman"/>
                    <w:sz w:val="18"/>
                  </w:rPr>
                  <w:t>OHIO</w:t>
                </w:r>
              </w:smartTag>
              <w:r w:rsidRPr="00827E2B">
                <w:rPr>
                  <w:rFonts w:ascii="Book Antiqua" w:eastAsia="Calibri" w:hAnsi="Book Antiqua" w:cs="Times New Roman"/>
                  <w:sz w:val="18"/>
                </w:rPr>
                <w:t xml:space="preserve"> </w:t>
              </w:r>
              <w:smartTag w:uri="urn:schemas-microsoft-com:office:smarttags" w:element="PostalCode">
                <w:r w:rsidRPr="00827E2B">
                  <w:rPr>
                    <w:rFonts w:ascii="Book Antiqua" w:eastAsia="Calibri" w:hAnsi="Book Antiqua" w:cs="Times New Roman"/>
                    <w:sz w:val="18"/>
                  </w:rPr>
                  <w:t>43215-3413</w:t>
                </w:r>
              </w:smartTag>
            </w:smartTag>
          </w:p>
          <w:p w:rsidR="00827E2B" w:rsidRPr="00827E2B" w:rsidRDefault="00827E2B" w:rsidP="00827E2B">
            <w:pPr>
              <w:spacing w:after="0" w:line="276" w:lineRule="auto"/>
              <w:rPr>
                <w:rFonts w:ascii="Book Antiqua" w:eastAsia="Calibri" w:hAnsi="Book Antiqua" w:cs="Times New Roman"/>
                <w:sz w:val="18"/>
              </w:rPr>
            </w:pPr>
            <w:r w:rsidRPr="00827E2B">
              <w:rPr>
                <w:rFonts w:ascii="Book Antiqua" w:eastAsia="Calibri" w:hAnsi="Book Antiqua" w:cs="Times New Roman"/>
                <w:sz w:val="18"/>
              </w:rPr>
              <w:t>PHONE: 614-461-9335</w:t>
            </w:r>
          </w:p>
          <w:p w:rsidR="00827E2B" w:rsidRPr="00827E2B" w:rsidRDefault="00827E2B" w:rsidP="00827E2B">
            <w:pPr>
              <w:spacing w:after="0" w:line="276" w:lineRule="auto"/>
              <w:rPr>
                <w:rFonts w:ascii="Book Antiqua" w:eastAsia="Calibri" w:hAnsi="Book Antiqua" w:cs="Times New Roman"/>
                <w:sz w:val="18"/>
              </w:rPr>
            </w:pPr>
            <w:r w:rsidRPr="00827E2B">
              <w:rPr>
                <w:rFonts w:ascii="Book Antiqua" w:eastAsia="Calibri" w:hAnsi="Book Antiqua" w:cs="Times New Roman"/>
                <w:sz w:val="18"/>
              </w:rPr>
              <w:t>FAX: 614-461-9336</w:t>
            </w:r>
            <w:bookmarkEnd w:id="0"/>
            <w:bookmarkEnd w:id="1"/>
          </w:p>
          <w:p w:rsidR="00827E2B" w:rsidRPr="00827E2B" w:rsidRDefault="00827E2B" w:rsidP="00827E2B">
            <w:pPr>
              <w:spacing w:after="0" w:line="276" w:lineRule="auto"/>
              <w:jc w:val="center"/>
              <w:rPr>
                <w:rFonts w:eastAsia="Calibri" w:cs="Times New Roman"/>
                <w:b/>
                <w:bCs/>
                <w:sz w:val="15"/>
                <w:szCs w:val="15"/>
              </w:rPr>
            </w:pPr>
          </w:p>
          <w:p w:rsidR="00827E2B" w:rsidRPr="00827E2B" w:rsidRDefault="00827E2B" w:rsidP="00827E2B">
            <w:pPr>
              <w:spacing w:after="0" w:line="240" w:lineRule="auto"/>
              <w:jc w:val="center"/>
              <w:rPr>
                <w:rFonts w:eastAsia="Calibri" w:cs="Times New Roman"/>
                <w:b/>
                <w:bCs/>
                <w:sz w:val="15"/>
                <w:szCs w:val="15"/>
              </w:rPr>
            </w:pPr>
          </w:p>
          <w:p w:rsidR="00827E2B" w:rsidRPr="00827E2B" w:rsidRDefault="0074685E" w:rsidP="00827E2B">
            <w:pPr>
              <w:spacing w:after="0" w:line="240" w:lineRule="auto"/>
              <w:jc w:val="center"/>
              <w:rPr>
                <w:rFonts w:eastAsia="Calibri" w:cs="Times New Roman"/>
                <w:b/>
              </w:rPr>
            </w:pPr>
            <w:r>
              <w:rPr>
                <w:rFonts w:eastAsia="Calibri" w:cs="Times New Roman"/>
                <w:b/>
              </w:rPr>
              <w:t xml:space="preserve">Coalition of Ohio Regional Districts </w:t>
            </w:r>
          </w:p>
          <w:p w:rsidR="00827E2B" w:rsidRPr="00827E2B" w:rsidRDefault="00827E2B" w:rsidP="00827E2B">
            <w:pPr>
              <w:spacing w:after="0" w:line="240" w:lineRule="auto"/>
              <w:jc w:val="center"/>
              <w:rPr>
                <w:rFonts w:eastAsia="Times New Roman" w:cs="Times New Roman"/>
                <w:b/>
                <w:szCs w:val="24"/>
              </w:rPr>
            </w:pPr>
            <w:r w:rsidRPr="00827E2B">
              <w:rPr>
                <w:rFonts w:eastAsia="Times New Roman" w:cs="Times New Roman"/>
                <w:b/>
                <w:szCs w:val="24"/>
              </w:rPr>
              <w:t>Legislative Activities Report</w:t>
            </w:r>
          </w:p>
          <w:p w:rsidR="00827E2B" w:rsidRPr="00827E2B" w:rsidRDefault="00827E2B" w:rsidP="00827E2B">
            <w:pPr>
              <w:spacing w:after="0" w:line="240" w:lineRule="auto"/>
              <w:jc w:val="center"/>
              <w:rPr>
                <w:rFonts w:eastAsia="Calibri" w:cs="Times New Roman"/>
                <w:b/>
                <w:bCs/>
              </w:rPr>
            </w:pPr>
            <w:r>
              <w:rPr>
                <w:rFonts w:eastAsia="Calibri" w:cs="Times New Roman"/>
                <w:b/>
                <w:bCs/>
              </w:rPr>
              <w:t>April</w:t>
            </w:r>
            <w:r w:rsidRPr="00827E2B">
              <w:rPr>
                <w:rFonts w:eastAsia="Calibri" w:cs="Times New Roman"/>
                <w:b/>
                <w:bCs/>
              </w:rPr>
              <w:t xml:space="preserve"> 2017 </w:t>
            </w:r>
          </w:p>
          <w:p w:rsidR="00827E2B" w:rsidRPr="00827E2B" w:rsidRDefault="00827E2B" w:rsidP="00827E2B">
            <w:pPr>
              <w:spacing w:after="0" w:line="276" w:lineRule="auto"/>
              <w:rPr>
                <w:rFonts w:eastAsia="Calibri" w:cs="Times New Roman"/>
                <w:b/>
                <w:bCs/>
              </w:rPr>
            </w:pPr>
          </w:p>
        </w:tc>
      </w:tr>
    </w:tbl>
    <w:p w:rsidR="00100A00" w:rsidRDefault="00100A00" w:rsidP="00100A00">
      <w:r>
        <w:tab/>
        <w:t>The House of Representatives is prepared to put its first mark on the state operating budget (HB 49) as the first round of amendments are due in early April. The House Finance Committee and its various subcommittees have held nearly two months’ worth of hearings and are now ready to make their first round of changes to the massive 3,500-page bill. The House will continue debating the budget measure until the end of April, at which point they will pass the bill and send it to the Senate for further deliberation. HB 49 will remain in the Senate until the middle of June at which point it will be sent to a conference committee, where members of both chambers will work on a compromise. The operating budget must be passed by both chambers and signed into law by the end of June.</w:t>
      </w:r>
    </w:p>
    <w:p w:rsidR="0066050C" w:rsidRDefault="00287BE4">
      <w:r>
        <w:tab/>
      </w:r>
      <w:r w:rsidR="00BE4FF5">
        <w:t xml:space="preserve">Hundreds of witnesses have flocked to the Statehouse to testify on the state operating budget. </w:t>
      </w:r>
      <w:r>
        <w:t xml:space="preserve">One of the more controversial </w:t>
      </w:r>
      <w:r w:rsidR="00BE4FF5">
        <w:t>provision</w:t>
      </w:r>
      <w:r w:rsidR="00F605B2">
        <w:t>s</w:t>
      </w:r>
      <w:r>
        <w:t xml:space="preserve"> in HB 49 is the governor’s tax proposal. </w:t>
      </w:r>
      <w:r w:rsidR="00827E2B">
        <w:t>Governor Kasich is proposing a</w:t>
      </w:r>
      <w:r>
        <w:t xml:space="preserve"> $3</w:t>
      </w:r>
      <w:r w:rsidR="00827E2B">
        <w:t>.1 billion income tax reduction. To pay for this tax cut</w:t>
      </w:r>
      <w:r>
        <w:t xml:space="preserve"> the executive budget proposal would increase the state’s sales tax to 6.25% and broaden it to apply to </w:t>
      </w:r>
      <w:r w:rsidR="00827E2B">
        <w:t>previously exempt</w:t>
      </w:r>
      <w:r>
        <w:t xml:space="preserve"> services. HB 49 also increases taxes on tobacco, alcohol, and oil and gas extraction.  The governor’s plan to increase the sales tax in exchange </w:t>
      </w:r>
      <w:r w:rsidR="00BE4FF5">
        <w:t xml:space="preserve">for an income tax cut has met opposition </w:t>
      </w:r>
      <w:r w:rsidR="000816C2">
        <w:t xml:space="preserve">in the past and has received pushback this time as well. In addition to the governor’s tax proposals, stakeholders representing all sorts of interests </w:t>
      </w:r>
      <w:r w:rsidR="00827E2B">
        <w:t>like</w:t>
      </w:r>
      <w:r w:rsidR="000816C2">
        <w:t xml:space="preserve"> healthcare, libraries, and </w:t>
      </w:r>
      <w:r w:rsidR="00B17156">
        <w:t>education</w:t>
      </w:r>
      <w:r w:rsidR="000816C2">
        <w:t xml:space="preserve"> weighed in on Governor Kasich’s two-year spending proposal. </w:t>
      </w:r>
    </w:p>
    <w:p w:rsidR="0074685E" w:rsidRDefault="00827E2B">
      <w:pPr>
        <w:rPr>
          <w:rFonts w:cs="Times New Roman"/>
          <w:szCs w:val="24"/>
        </w:rPr>
      </w:pPr>
      <w:r>
        <w:tab/>
        <w:t xml:space="preserve">The House and Senate also put </w:t>
      </w:r>
      <w:r w:rsidR="00F605B2">
        <w:t>their</w:t>
      </w:r>
      <w:r>
        <w:t xml:space="preserve"> finishing touches on the state’s two-year transportation budget. </w:t>
      </w:r>
      <w:r w:rsidR="00024429">
        <w:t xml:space="preserve">While not as immense as the main operating budget, the nearly $8 billion transportation funding bill (HB 26) provides money for the Ohio Department of Transportation, Ohio Department of Public Safety, Public Works Commission, and the Development Services Agency. </w:t>
      </w:r>
      <w:r w:rsidR="00711CDC">
        <w:t xml:space="preserve">CORD became heavily involved in this legislation when an amendment was added by the Senate that </w:t>
      </w:r>
      <w:r w:rsidR="00711CDC">
        <w:rPr>
          <w:rFonts w:cs="Times New Roman"/>
          <w:szCs w:val="24"/>
        </w:rPr>
        <w:t xml:space="preserve">would have exempted railroad land, upon which railroad track is situated, from assessments for sewer and drainage improvements. This language was drafted to directly effect ORC </w:t>
      </w:r>
      <w:r w:rsidR="00B17156">
        <w:rPr>
          <w:rFonts w:cs="Times New Roman"/>
          <w:szCs w:val="24"/>
        </w:rPr>
        <w:t xml:space="preserve">Chapter </w:t>
      </w:r>
      <w:r w:rsidR="00711CDC">
        <w:rPr>
          <w:rFonts w:cs="Times New Roman"/>
          <w:szCs w:val="24"/>
        </w:rPr>
        <w:t xml:space="preserve">6119, which would have impacted many of our members. This amendment was </w:t>
      </w:r>
      <w:r w:rsidR="00711CDC">
        <w:rPr>
          <w:rFonts w:cs="Times New Roman"/>
          <w:szCs w:val="24"/>
        </w:rPr>
        <w:lastRenderedPageBreak/>
        <w:t xml:space="preserve">added so late in the process, that developing an effective strategy to defeat the measure proved difficult. Nevertheless, in less than a week we </w:t>
      </w:r>
      <w:proofErr w:type="gramStart"/>
      <w:r w:rsidR="00711CDC">
        <w:rPr>
          <w:rFonts w:cs="Times New Roman"/>
          <w:szCs w:val="24"/>
        </w:rPr>
        <w:t>were able to</w:t>
      </w:r>
      <w:proofErr w:type="gramEnd"/>
      <w:r w:rsidR="00711CDC">
        <w:rPr>
          <w:rFonts w:cs="Times New Roman"/>
          <w:szCs w:val="24"/>
        </w:rPr>
        <w:t xml:space="preserve"> contact every member of the HB 26 conference committee as well as key members of House and Senate leadership teams. We were also able to organize and coordinate with other stakeholders to oppose the amendment. Through these efforts, we </w:t>
      </w:r>
      <w:proofErr w:type="gramStart"/>
      <w:r w:rsidR="00711CDC">
        <w:rPr>
          <w:rFonts w:cs="Times New Roman"/>
          <w:szCs w:val="24"/>
        </w:rPr>
        <w:t>were able to</w:t>
      </w:r>
      <w:proofErr w:type="gramEnd"/>
      <w:r w:rsidR="00711CDC">
        <w:rPr>
          <w:rFonts w:cs="Times New Roman"/>
          <w:szCs w:val="24"/>
        </w:rPr>
        <w:t xml:space="preserve"> come to an agreement with the railroad industry and settled on a compromise that limited the impact on 6119 districts. </w:t>
      </w:r>
      <w:r w:rsidR="00100A00" w:rsidRPr="00100A00">
        <w:rPr>
          <w:rFonts w:cs="Times New Roman"/>
          <w:szCs w:val="24"/>
        </w:rPr>
        <w:t xml:space="preserve">Prior to signing the bill, Governor Kasich exercised his veto authority to </w:t>
      </w:r>
      <w:r w:rsidR="00100A00">
        <w:rPr>
          <w:rFonts w:cs="Times New Roman"/>
          <w:szCs w:val="24"/>
        </w:rPr>
        <w:t>remove</w:t>
      </w:r>
      <w:r w:rsidR="00100A00" w:rsidRPr="00100A00">
        <w:rPr>
          <w:rFonts w:cs="Times New Roman"/>
          <w:szCs w:val="24"/>
        </w:rPr>
        <w:t xml:space="preserve"> four provisions. The vetoed language would have: created a Smart Transportation Action Advisory Team, changed the frequency of local bridge inspections; required the Ohio Department of Transportation to install interchanges on limited access highways every four miles in certain urban areas; and eliminated a requirement for a second observer on ski boats.</w:t>
      </w:r>
    </w:p>
    <w:p w:rsidR="00711CDC" w:rsidRDefault="00711CDC">
      <w:r>
        <w:rPr>
          <w:rFonts w:cs="Times New Roman"/>
          <w:szCs w:val="24"/>
        </w:rPr>
        <w:tab/>
        <w:t>Also of inte</w:t>
      </w:r>
      <w:r w:rsidR="00A8537A">
        <w:rPr>
          <w:rFonts w:cs="Times New Roman"/>
          <w:szCs w:val="24"/>
        </w:rPr>
        <w:t xml:space="preserve">rest to CORD are two bills that have the potential to negatively impact the process by which districts select piping material for projects. HB 121, introduced by Rep. Jay Edwards (R-Nelsonville), and SB 95, introduced by Senator Lou </w:t>
      </w:r>
      <w:proofErr w:type="spellStart"/>
      <w:r w:rsidR="00A8537A">
        <w:rPr>
          <w:rFonts w:cs="Times New Roman"/>
          <w:szCs w:val="24"/>
        </w:rPr>
        <w:t>Terhar</w:t>
      </w:r>
      <w:proofErr w:type="spellEnd"/>
      <w:r w:rsidR="00A8537A">
        <w:rPr>
          <w:rFonts w:cs="Times New Roman"/>
          <w:szCs w:val="24"/>
        </w:rPr>
        <w:t xml:space="preserve"> (R-Cincinnati), would require a public authority to “consider” all piping materials for the construction, development, maintenance, rebuilding, or repair of a state-funded water or waste water project. Advocates suggest that this legislation is designed to ensure that all suitable piping materials are being included in bids for utility service improvement projects. Nevertheless, similar bills that were introduced in previous legislative sessions were met with strong opposition. As in years past, CORD has been </w:t>
      </w:r>
      <w:r w:rsidR="00B17156">
        <w:rPr>
          <w:rFonts w:cs="Times New Roman"/>
          <w:szCs w:val="24"/>
        </w:rPr>
        <w:t xml:space="preserve">tracking this legislation extremely closely and, </w:t>
      </w:r>
      <w:r w:rsidR="00A8537A">
        <w:rPr>
          <w:rFonts w:cs="Times New Roman"/>
          <w:szCs w:val="24"/>
        </w:rPr>
        <w:t xml:space="preserve">while the bills were just recently introduced, we are prepared to defend the interests of our members. </w:t>
      </w:r>
    </w:p>
    <w:p w:rsidR="009B2E0E" w:rsidRDefault="009B2E0E">
      <w:r>
        <w:tab/>
        <w:t xml:space="preserve">Also of note, the Ohio House passed legislation (HB 114) that would make Ohio’s renewable energy standards optional. The proposal, which reflects many recommendations made in a report issued by the Energy Mandates Study Committee in 2015, was passed by the House with 65 votes – five more than the 60 votes needed to override a veto that Governor Kasich has all but guaranteed. All eyes now turn to the Senate, where the bill may face more difficulty in earning the support of 20 senators needed to override a veto. </w:t>
      </w:r>
      <w:r w:rsidRPr="009B2E0E">
        <w:t>"We just sent a very clear message we're very serious about this," Speaker Rosenberger said of the House's vote. "We feel very strongly this is the right pathway for the state and we're always open to sit down and work with the administration."</w:t>
      </w:r>
    </w:p>
    <w:p w:rsidR="00EB7841" w:rsidRDefault="00711CDC" w:rsidP="00EB5EAD">
      <w:pPr>
        <w:spacing w:line="240" w:lineRule="auto"/>
        <w:ind w:firstLine="720"/>
      </w:pPr>
      <w:r>
        <w:t>In other news</w:t>
      </w:r>
      <w:r w:rsidR="00EB7841">
        <w:t xml:space="preserve">, for the third time in four years, the Ohio Bureau of Workers’ Compensation (BWC) is proposing a premium rebate to Ohio’s employers. If approved, the rebate will return $1.1 billion to both private and public employers. Once passed, most rebates would equal 66 percent of the employer’s premium for the policy year ending June 20, 2016. BWC </w:t>
      </w:r>
      <w:proofErr w:type="gramStart"/>
      <w:r w:rsidR="00EB7841">
        <w:t>is able to</w:t>
      </w:r>
      <w:proofErr w:type="gramEnd"/>
      <w:r w:rsidR="00EB7841">
        <w:t xml:space="preserve"> issue the proposed rebate due to strong investment returns, prudent fiscal management and declining claims. </w:t>
      </w:r>
    </w:p>
    <w:p w:rsidR="00100A00" w:rsidRDefault="00EB5EAD" w:rsidP="00100A00">
      <w:pPr>
        <w:spacing w:line="240" w:lineRule="auto"/>
        <w:ind w:firstLine="720"/>
      </w:pPr>
      <w:r>
        <w:t xml:space="preserve">The 2018 gubernatorial race is heating up, as numerous candidates are hoping to replace Governor Kasich. Republicans Mary Taylor, the current Lt. Governor, and current Congressman Jim </w:t>
      </w:r>
      <w:proofErr w:type="spellStart"/>
      <w:r>
        <w:t>Renac</w:t>
      </w:r>
      <w:r w:rsidR="00F605B2">
        <w:t>ci</w:t>
      </w:r>
      <w:proofErr w:type="spellEnd"/>
      <w:r w:rsidR="00F605B2">
        <w:t xml:space="preserve"> have both announced that they are</w:t>
      </w:r>
      <w:r>
        <w:t xml:space="preserve"> running. They will likely be joined by other Republican hopefuls, </w:t>
      </w:r>
      <w:r w:rsidRPr="0057053E">
        <w:t>includi</w:t>
      </w:r>
      <w:r>
        <w:t xml:space="preserve">ng Attorney General Mike DeWine and Secretary of State Jon Husted. </w:t>
      </w:r>
      <w:r w:rsidRPr="0057053E">
        <w:t xml:space="preserve">On the Democratic side, Senate Minority Leader Joe </w:t>
      </w:r>
      <w:proofErr w:type="spellStart"/>
      <w:r w:rsidRPr="0057053E">
        <w:t>Schiavoni</w:t>
      </w:r>
      <w:proofErr w:type="spellEnd"/>
      <w:r w:rsidRPr="0057053E">
        <w:t xml:space="preserve"> has announced his candidacy for governor</w:t>
      </w:r>
      <w:r>
        <w:t xml:space="preserve"> as have former State Rep. Connie Pillich and former U.S. Rep. Betty Sutton</w:t>
      </w:r>
      <w:r w:rsidRPr="0057053E">
        <w:t xml:space="preserve">. </w:t>
      </w:r>
      <w:r>
        <w:t xml:space="preserve">Former Democratic Attorney General Richard </w:t>
      </w:r>
      <w:proofErr w:type="spellStart"/>
      <w:r>
        <w:t>Cordray</w:t>
      </w:r>
      <w:proofErr w:type="spellEnd"/>
      <w:r>
        <w:t xml:space="preserve"> is also rumored to be interested in entering the race. </w:t>
      </w:r>
    </w:p>
    <w:p w:rsidR="00100A00" w:rsidRDefault="00100A00" w:rsidP="00100A00">
      <w:pPr>
        <w:spacing w:line="240" w:lineRule="auto"/>
        <w:ind w:firstLine="720"/>
      </w:pPr>
      <w:r>
        <w:t xml:space="preserve">Lt. Gov. Mary Taylor recently announced she will be stepping down as director of the Ohio Department of Insurance. Deputy Director Jillian </w:t>
      </w:r>
      <w:proofErr w:type="spellStart"/>
      <w:r>
        <w:t>Froment</w:t>
      </w:r>
      <w:proofErr w:type="spellEnd"/>
      <w:r>
        <w:t xml:space="preserve"> was named as her replacement. Taylor plans to continue to serve as lieutenant governor. While an official reason for Taylor resigning was not given, her departure will allow her for focus more attention on her gubernatorial campaign. “Mary has capably led the department through some historic times and has been a source of steady, knowledgeable leadership,” Gov. John Kasich said in a release. “I am grateful for her work and will continue to rely on her advice and counsel as lieutenant governor. Jillian has worked closely with Mary since the beginning of the administration and has a deep knowledge of the insurance industry and the department and I am confident that she will be able to continue Mary’s record of steady, professional management.”</w:t>
      </w:r>
    </w:p>
    <w:p w:rsidR="00EB7841" w:rsidRDefault="00EB7841" w:rsidP="00100A00">
      <w:pPr>
        <w:spacing w:line="240" w:lineRule="auto"/>
        <w:ind w:firstLine="720"/>
      </w:pPr>
      <w:bookmarkStart w:id="2" w:name="_GoBack"/>
      <w:bookmarkEnd w:id="2"/>
      <w:r>
        <w:t>We have been tracking the following legislation during the 132</w:t>
      </w:r>
      <w:r w:rsidRPr="0057053E">
        <w:rPr>
          <w:vertAlign w:val="superscript"/>
        </w:rPr>
        <w:t>nd</w:t>
      </w:r>
      <w:r>
        <w:t xml:space="preserve"> General Assembly: </w:t>
      </w:r>
    </w:p>
    <w:tbl>
      <w:tblPr>
        <w:tblW w:w="5000" w:type="pct"/>
        <w:tblCellSpacing w:w="15" w:type="dxa"/>
        <w:tblCellMar>
          <w:left w:w="0" w:type="dxa"/>
          <w:right w:w="0" w:type="dxa"/>
        </w:tblCellMar>
        <w:tblLook w:val="04A0" w:firstRow="1" w:lastRow="0" w:firstColumn="1" w:lastColumn="0" w:noHBand="0" w:noVBand="1"/>
      </w:tblPr>
      <w:tblGrid>
        <w:gridCol w:w="752"/>
        <w:gridCol w:w="2310"/>
        <w:gridCol w:w="6298"/>
      </w:tblGrid>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HB3</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DATAOHIO BOARD CREATION</w:t>
            </w:r>
            <w:r w:rsidRPr="00711CDC">
              <w:rPr>
                <w:rFonts w:eastAsia="Times New Roman" w:cs="Times New Roman"/>
                <w:color w:val="000000"/>
                <w:szCs w:val="24"/>
              </w:rPr>
              <w:t> (DUFFEY M, HAGAN C)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2/8/2017 - Referred to Committee House Finance</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HB26</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TRANSPORTATION-PUBLIC SAFETY BUDGET</w:t>
            </w:r>
            <w:r w:rsidRPr="00711CDC">
              <w:rPr>
                <w:rFonts w:eastAsia="Times New Roman" w:cs="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3/31/2017 - Sent to Governor for Signature</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HB29</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MUNICIPAL WATER RESERVOIR BUFFERS</w:t>
            </w:r>
            <w:r w:rsidRPr="00711CDC">
              <w:rPr>
                <w:rFonts w:eastAsia="Times New Roman" w:cs="Times New Roman"/>
                <w:color w:val="000000"/>
                <w:szCs w:val="24"/>
              </w:rPr>
              <w:t> (LELAND D, BOGGS K) To eliminate law authorizing the maintenance of buffers around municipal water reservoirs by contiguous property owners.</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2/8/2017 - Referred to Committee House Energy and Natural Resources</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HB31</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CONTRACTING ADVISORY COUNCIL-ABOLITION</w:t>
            </w:r>
            <w:r w:rsidRPr="00711CDC">
              <w:rPr>
                <w:rFonts w:eastAsia="Times New Roman" w:cs="Times New Roman"/>
                <w:color w:val="000000"/>
                <w:szCs w:val="24"/>
              </w:rPr>
              <w:t> (CUPP B) To abolish the Government Contracting Advisory Council.</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3/15/2017 - Referred to Committee Senate Government Oversight and Reform</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HB40</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GOVERNMENT EXPENDITURE DATABASE</w:t>
            </w:r>
            <w:r w:rsidRPr="00711CDC">
              <w:rPr>
                <w:rFonts w:eastAsia="Times New Roman" w:cs="Times New Roman"/>
                <w:color w:val="000000"/>
                <w:szCs w:val="24"/>
              </w:rPr>
              <w:t> (DEVER J, GREENSPAN D) To require the Treasurer of State to establish the Ohio State Government Expenditure Database.</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2/28/2017 - House State and Local Government, (Third Hearing)</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HB49</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OPERATING BUDGET</w:t>
            </w:r>
            <w:r w:rsidRPr="00711CDC">
              <w:rPr>
                <w:rFonts w:eastAsia="Times New Roman" w:cs="Times New Roman"/>
                <w:color w:val="000000"/>
                <w:szCs w:val="24"/>
              </w:rPr>
              <w:t> (SMITH R) Creates FY 2018-2019 main operating budget.</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4/6/2017 - Senate Finance Health and Medicaid Subcommittee, (First Hearing)</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HB51</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DEPARTMENT REVIEW SCHEDULE</w:t>
            </w:r>
            <w:r w:rsidRPr="00711CDC">
              <w:rPr>
                <w:rFonts w:eastAsia="Times New Roman" w:cs="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2/28/2017 - House State and Local Government, (Third Hearing)</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HB54</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STATE REVENUE OBLIGATIONS</w:t>
            </w:r>
            <w:r w:rsidRPr="00711CDC">
              <w:rPr>
                <w:rFonts w:eastAsia="Times New Roman" w:cs="Times New Roman"/>
                <w:color w:val="000000"/>
                <w:szCs w:val="24"/>
              </w:rPr>
              <w:t xml:space="preserve"> (BLESSING III L) To authorize the Treasurer of State to issue revenue obligations of the state </w:t>
            </w:r>
            <w:proofErr w:type="gramStart"/>
            <w:r w:rsidRPr="00711CDC">
              <w:rPr>
                <w:rFonts w:eastAsia="Times New Roman" w:cs="Times New Roman"/>
                <w:color w:val="000000"/>
                <w:szCs w:val="24"/>
              </w:rPr>
              <w:t>for the purpose of</w:t>
            </w:r>
            <w:proofErr w:type="gramEnd"/>
            <w:r w:rsidRPr="00711CDC">
              <w:rPr>
                <w:rFonts w:eastAsia="Times New Roman" w:cs="Times New Roman"/>
                <w:color w:val="000000"/>
                <w:szCs w:val="24"/>
              </w:rPr>
              <w:t xml:space="preserve"> making loans to qualifying public entities for their acquisition of permanent improvements through the Treasurer of State's purchase of public obligations of those qualifying entities.</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3/15/2017 - Referred to Committee Senate Finance</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HB69</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LEVY REVENUE REIMBURSEMENT</w:t>
            </w:r>
            <w:r w:rsidRPr="00711CDC">
              <w:rPr>
                <w:rFonts w:eastAsia="Times New Roman" w:cs="Times New Roman"/>
                <w:color w:val="000000"/>
                <w:szCs w:val="24"/>
              </w:rPr>
              <w:t> (CUPP B) To require reimbursement of certain township fire and emergency medical service levy revenue forgone because of the creation of a municipal tax increment financing district.</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3/28/2017 - House State and Local Government, (Fourth Hearing)</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HB103</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FISCAL EMERGENCY PROVISIONS</w:t>
            </w:r>
            <w:r w:rsidRPr="00711CDC">
              <w:rPr>
                <w:rFonts w:eastAsia="Times New Roman" w:cs="Times New Roman"/>
                <w:color w:val="000000"/>
                <w:szCs w:val="24"/>
              </w:rPr>
              <w:t> (REINEKE W) To modify the composition and powers of the financial planning and supervision commission of a political subdivision that is in a state of fiscal emergency and to clarify the duties of that political subdivision.</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3/29/2017 - </w:t>
            </w:r>
            <w:r w:rsidRPr="00711CDC">
              <w:rPr>
                <w:rFonts w:eastAsia="Times New Roman" w:cs="Times New Roman"/>
                <w:b/>
                <w:bCs/>
                <w:color w:val="000000"/>
                <w:szCs w:val="24"/>
              </w:rPr>
              <w:t>PASSED BY HOUSE</w:t>
            </w:r>
            <w:r w:rsidRPr="00711CDC">
              <w:rPr>
                <w:rFonts w:eastAsia="Times New Roman" w:cs="Times New Roman"/>
                <w:color w:val="000000"/>
                <w:szCs w:val="24"/>
              </w:rPr>
              <w:t>; Vote 96-1</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HB114</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RENEWABLE ENERGY STANDARDS</w:t>
            </w:r>
            <w:r w:rsidRPr="00711CDC">
              <w:rPr>
                <w:rFonts w:eastAsia="Times New Roman" w:cs="Times New Roman"/>
                <w:color w:val="000000"/>
                <w:szCs w:val="24"/>
              </w:rPr>
              <w:t> (BLESSING III L) To revise the provisions governing renewable energy, energy efficiency, and peak demand reduction and to alter funding allocations under the Home Energy Assistance Program.</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3/30/2017 - </w:t>
            </w:r>
            <w:r w:rsidRPr="00711CDC">
              <w:rPr>
                <w:rFonts w:eastAsia="Times New Roman" w:cs="Times New Roman"/>
                <w:b/>
                <w:bCs/>
                <w:color w:val="000000"/>
                <w:szCs w:val="24"/>
              </w:rPr>
              <w:t>PASSED BY HOUSE</w:t>
            </w:r>
            <w:r w:rsidRPr="00711CDC">
              <w:rPr>
                <w:rFonts w:eastAsia="Times New Roman" w:cs="Times New Roman"/>
                <w:color w:val="000000"/>
                <w:szCs w:val="24"/>
              </w:rPr>
              <w:t>; Vote 65-31</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HB121</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PIPE MATERIAL SPECIFICATIONS</w:t>
            </w:r>
            <w:r w:rsidRPr="00711CDC">
              <w:rPr>
                <w:rFonts w:eastAsia="Times New Roman" w:cs="Times New Roman"/>
                <w:color w:val="000000"/>
                <w:szCs w:val="24"/>
              </w:rPr>
              <w:t> (EDWARDS J) To require a public authority to consider all piping materials that meet the engineering specifications for a state-funded water or waste water project.</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3/21/2017 - House State and Local Government, (First Hearing)</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HB122</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ESTABLISH ECONOMIC STUDY COMMITTEE</w:t>
            </w:r>
            <w:r w:rsidRPr="00711CDC">
              <w:rPr>
                <w:rFonts w:eastAsia="Times New Roman" w:cs="Times New Roman"/>
                <w:color w:val="000000"/>
                <w:szCs w:val="24"/>
              </w:rPr>
              <w:t> (HAMBLEY S, ROGERS J) To establish a Regional Economic Development Alliance Study Committee to study the benefits and challenges involved in creating regional economic development alliances.</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3/28/2017 - House State and Local Government, (First Hearing)</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HB163</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PREVAILING WAGE PUBLIC IMPROVEMENT PROJECTS</w:t>
            </w:r>
            <w:r w:rsidRPr="00711CDC">
              <w:rPr>
                <w:rFonts w:eastAsia="Times New Roman" w:cs="Times New Roman"/>
                <w:color w:val="000000"/>
                <w:szCs w:val="24"/>
              </w:rPr>
              <w:t> (ROEGNER K, RIEDEL C) To allow political subdivisions, special districts, and state institutions of higher education to elect to apply the Prevailing Wage Law to public improvement projects.</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3/28/2017 - Introduced</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SB2</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ENVIRONMENTAL PROTECTIONS LAWS</w:t>
            </w:r>
            <w:r w:rsidRPr="00711CDC">
              <w:rPr>
                <w:rFonts w:eastAsia="Times New Roman" w:cs="Times New Roman"/>
                <w:color w:val="000000"/>
                <w:szCs w:val="24"/>
              </w:rPr>
              <w:t> (HITE C) To revise specified laws relating to environmental protection.</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3/29/2017 - Referred to Committee House Energy and Natural Resources</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SB3</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WORKFORCE DEVELOPMENT</w:t>
            </w:r>
            <w:r w:rsidRPr="00711CDC">
              <w:rPr>
                <w:rFonts w:eastAsia="Times New Roman" w:cs="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4/5/2017 - Senate Transportation, Commerce and Workforce, (Third Hearing)</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SB31</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HEALTH RULE WITHDRAW PROCESS</w:t>
            </w:r>
            <w:r w:rsidRPr="00711CDC">
              <w:rPr>
                <w:rFonts w:eastAsia="Times New Roman" w:cs="Times New Roman"/>
                <w:color w:val="000000"/>
                <w:szCs w:val="24"/>
              </w:rPr>
              <w:t> (EKLUND J) To authorize a board of county commissioners or municipal legislative authority to elect to withdraw the county or municipal corporation from the application of any rule adopted by the Department of Health after January 1, 2014, that governs the design of household sewage treatment systems.</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3/1/2017 - Senate Energy and Natural Resources, (First Hearing)</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SB51</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LAKE ERIE IMPROVEMENT DISTRICT</w:t>
            </w:r>
            <w:r w:rsidRPr="00711CDC">
              <w:rPr>
                <w:rFonts w:eastAsia="Times New Roman" w:cs="Times New Roman"/>
                <w:color w:val="000000"/>
                <w:szCs w:val="24"/>
              </w:rPr>
              <w:t> (SKINDELL M, EKLUND J) To authorize the creation of a special improvement district to facilitate Lake Erie shoreline improvement.</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3/29/2017 - Senate Energy and Natural Resources, (Second Hearing)</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SB72</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PREVAILING WAGE LAW</w:t>
            </w:r>
            <w:r w:rsidRPr="00711CDC">
              <w:rPr>
                <w:rFonts w:eastAsia="Times New Roman" w:cs="Times New Roman"/>
                <w:color w:val="000000"/>
                <w:szCs w:val="24"/>
              </w:rPr>
              <w:t> (HUFFMAN M) To allow political subdivisions, special districts, and state institutions of higher education to elect to apply the Prevailing Wage Law to public improvement projects.</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3/7/2017 - Referred to Committee Senate Finance</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SB79</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STATE DEPARTMENTAL REVIEW SCHEDULE</w:t>
            </w:r>
            <w:r w:rsidRPr="00711CDC">
              <w:rPr>
                <w:rFonts w:eastAsia="Times New Roman" w:cs="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3/29/2017 - Senate Government Oversight and Reform, (Second Hearing)</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SB88</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SUBDIVISION COMMISSIONS-FISCAL EMERGENCY</w:t>
            </w:r>
            <w:r w:rsidRPr="00711CDC">
              <w:rPr>
                <w:rFonts w:eastAsia="Times New Roman" w:cs="Times New Roman"/>
                <w:color w:val="000000"/>
                <w:szCs w:val="24"/>
              </w:rPr>
              <w:t> (TERHAR L) To modify the composition and powers of the financial planning and supervision commission of a political subdivision that is in a state of fiscal emergency and to clarify the duties of that political subdivision.</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3/29/2017 - </w:t>
            </w:r>
            <w:r w:rsidRPr="00711CDC">
              <w:rPr>
                <w:rFonts w:eastAsia="Times New Roman" w:cs="Times New Roman"/>
                <w:b/>
                <w:bCs/>
                <w:color w:val="000000"/>
                <w:szCs w:val="24"/>
              </w:rPr>
              <w:t>REPORTED OUT</w:t>
            </w:r>
            <w:r w:rsidRPr="00711CDC">
              <w:rPr>
                <w:rFonts w:eastAsia="Times New Roman" w:cs="Times New Roman"/>
                <w:color w:val="000000"/>
                <w:szCs w:val="24"/>
              </w:rPr>
              <w:t>, Senate Government Oversight and Reform, (Third Hearing)</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SB95</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STATE PROJECTS-PIPING MATERIALS</w:t>
            </w:r>
            <w:r w:rsidRPr="00711CDC">
              <w:rPr>
                <w:rFonts w:eastAsia="Times New Roman" w:cs="Times New Roman"/>
                <w:color w:val="000000"/>
                <w:szCs w:val="24"/>
              </w:rPr>
              <w:t> (TERHAR L) To require a public authority to consider all piping materials that meet the engineering specifications for a state-funded water or waste water project.</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4/5/2017 - Senate Energy and Natural Resources, (First Hearing)</w:t>
            </w:r>
          </w:p>
        </w:tc>
      </w:tr>
      <w:tr w:rsidR="00711CDC" w:rsidRPr="00711CDC" w:rsidTr="00711CDC">
        <w:trPr>
          <w:tblCellSpacing w:w="15" w:type="dxa"/>
        </w:trPr>
        <w:tc>
          <w:tcPr>
            <w:tcW w:w="0" w:type="auto"/>
            <w:gridSpan w:val="3"/>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r>
      <w:tr w:rsidR="00711CDC" w:rsidRPr="00711CDC" w:rsidTr="00711CDC">
        <w:trPr>
          <w:tblCellSpacing w:w="15" w:type="dxa"/>
        </w:trPr>
        <w:tc>
          <w:tcPr>
            <w:tcW w:w="350" w:type="pct"/>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SJR4</w:t>
            </w:r>
          </w:p>
        </w:tc>
        <w:tc>
          <w:tcPr>
            <w:tcW w:w="0" w:type="auto"/>
            <w:gridSpan w:val="2"/>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b/>
                <w:bCs/>
                <w:color w:val="000000"/>
                <w:szCs w:val="24"/>
              </w:rPr>
              <w:t>CAPITAL IMPROVEMENTS FUNDING</w:t>
            </w:r>
            <w:r w:rsidRPr="00711CDC">
              <w:rPr>
                <w:rFonts w:eastAsia="Times New Roman" w:cs="Times New Roman"/>
                <w:color w:val="000000"/>
                <w:szCs w:val="24"/>
              </w:rPr>
              <w:t> (SCHIAVONI J) Proposing to enact Section 2t of Article VIII of the Constitution of the State of Ohio to permit the issuance of general obligation bonds to fund sewer and water capital improvements.</w:t>
            </w:r>
          </w:p>
        </w:tc>
      </w:tr>
      <w:tr w:rsidR="00711CDC" w:rsidRPr="00711CDC" w:rsidTr="00711CDC">
        <w:trPr>
          <w:tblCellSpacing w:w="15" w:type="dxa"/>
        </w:trPr>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 </w:t>
            </w:r>
          </w:p>
        </w:tc>
        <w:tc>
          <w:tcPr>
            <w:tcW w:w="1250" w:type="pct"/>
            <w:hideMark/>
          </w:tcPr>
          <w:p w:rsidR="00711CDC" w:rsidRPr="00711CDC" w:rsidRDefault="00711CDC" w:rsidP="00711CDC">
            <w:pPr>
              <w:spacing w:after="0" w:line="240" w:lineRule="auto"/>
              <w:jc w:val="right"/>
              <w:rPr>
                <w:rFonts w:eastAsia="Times New Roman" w:cs="Times New Roman"/>
                <w:color w:val="000000"/>
                <w:sz w:val="18"/>
                <w:szCs w:val="18"/>
              </w:rPr>
            </w:pPr>
            <w:proofErr w:type="gramStart"/>
            <w:r w:rsidRPr="00711CDC">
              <w:rPr>
                <w:rFonts w:eastAsia="Times New Roman" w:cs="Times New Roman"/>
                <w:b/>
                <w:bCs/>
                <w:i/>
                <w:iCs/>
                <w:color w:val="000000"/>
                <w:sz w:val="18"/>
                <w:szCs w:val="18"/>
              </w:rPr>
              <w:t>Current Status</w:t>
            </w:r>
            <w:proofErr w:type="gramEnd"/>
            <w:r w:rsidRPr="00711CDC">
              <w:rPr>
                <w:rFonts w:eastAsia="Times New Roman" w:cs="Times New Roman"/>
                <w:b/>
                <w:bCs/>
                <w:i/>
                <w:iCs/>
                <w:color w:val="000000"/>
                <w:sz w:val="18"/>
                <w:szCs w:val="18"/>
              </w:rPr>
              <w:t>:   </w:t>
            </w:r>
          </w:p>
        </w:tc>
        <w:tc>
          <w:tcPr>
            <w:tcW w:w="0" w:type="auto"/>
            <w:vAlign w:val="center"/>
            <w:hideMark/>
          </w:tcPr>
          <w:p w:rsidR="00711CDC" w:rsidRPr="00711CDC" w:rsidRDefault="00711CDC" w:rsidP="00711CDC">
            <w:pPr>
              <w:spacing w:after="0" w:line="240" w:lineRule="auto"/>
              <w:rPr>
                <w:rFonts w:eastAsia="Times New Roman" w:cs="Times New Roman"/>
                <w:color w:val="000000"/>
                <w:szCs w:val="24"/>
              </w:rPr>
            </w:pPr>
            <w:r w:rsidRPr="00711CDC">
              <w:rPr>
                <w:rFonts w:eastAsia="Times New Roman" w:cs="Times New Roman"/>
                <w:color w:val="000000"/>
                <w:szCs w:val="24"/>
              </w:rPr>
              <w:t>3/7/2017 - Referred to Committee Senate Finance</w:t>
            </w:r>
          </w:p>
        </w:tc>
      </w:tr>
    </w:tbl>
    <w:p w:rsidR="00711CDC" w:rsidRDefault="00711CDC" w:rsidP="00EB7841"/>
    <w:sectPr w:rsidR="00711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0C"/>
    <w:rsid w:val="00024429"/>
    <w:rsid w:val="000816C2"/>
    <w:rsid w:val="00100A00"/>
    <w:rsid w:val="001C7CAD"/>
    <w:rsid w:val="00287BE4"/>
    <w:rsid w:val="002B7C18"/>
    <w:rsid w:val="00411C07"/>
    <w:rsid w:val="0066050C"/>
    <w:rsid w:val="00711CDC"/>
    <w:rsid w:val="0074685E"/>
    <w:rsid w:val="007B2734"/>
    <w:rsid w:val="00827E2B"/>
    <w:rsid w:val="00996AA4"/>
    <w:rsid w:val="009B2E0E"/>
    <w:rsid w:val="009F573C"/>
    <w:rsid w:val="00A8537A"/>
    <w:rsid w:val="00AE6507"/>
    <w:rsid w:val="00B17156"/>
    <w:rsid w:val="00BE4FF5"/>
    <w:rsid w:val="00EB5EAD"/>
    <w:rsid w:val="00EB7841"/>
    <w:rsid w:val="00F6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1CB54A9"/>
  <w15:chartTrackingRefBased/>
  <w15:docId w15:val="{8033A167-E5E1-4060-9C30-3AEF73DB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5B2"/>
    <w:rPr>
      <w:rFonts w:ascii="Segoe UI" w:hAnsi="Segoe UI" w:cs="Segoe UI"/>
      <w:sz w:val="18"/>
      <w:szCs w:val="18"/>
    </w:rPr>
  </w:style>
  <w:style w:type="character" w:styleId="Strong">
    <w:name w:val="Strong"/>
    <w:basedOn w:val="DefaultParagraphFont"/>
    <w:uiPriority w:val="22"/>
    <w:qFormat/>
    <w:rsid w:val="009F573C"/>
    <w:rPr>
      <w:b/>
      <w:bCs/>
    </w:rPr>
  </w:style>
  <w:style w:type="character" w:customStyle="1" w:styleId="apple-converted-space">
    <w:name w:val="apple-converted-space"/>
    <w:basedOn w:val="DefaultParagraphFont"/>
    <w:rsid w:val="009F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95194">
      <w:bodyDiv w:val="1"/>
      <w:marLeft w:val="0"/>
      <w:marRight w:val="0"/>
      <w:marTop w:val="0"/>
      <w:marBottom w:val="0"/>
      <w:divBdr>
        <w:top w:val="none" w:sz="0" w:space="0" w:color="auto"/>
        <w:left w:val="none" w:sz="0" w:space="0" w:color="auto"/>
        <w:bottom w:val="none" w:sz="0" w:space="0" w:color="auto"/>
        <w:right w:val="none" w:sz="0" w:space="0" w:color="auto"/>
      </w:divBdr>
    </w:div>
    <w:div w:id="877855384">
      <w:bodyDiv w:val="1"/>
      <w:marLeft w:val="0"/>
      <w:marRight w:val="0"/>
      <w:marTop w:val="0"/>
      <w:marBottom w:val="0"/>
      <w:divBdr>
        <w:top w:val="none" w:sz="0" w:space="0" w:color="auto"/>
        <w:left w:val="none" w:sz="0" w:space="0" w:color="auto"/>
        <w:bottom w:val="none" w:sz="0" w:space="0" w:color="auto"/>
        <w:right w:val="none" w:sz="0" w:space="0" w:color="auto"/>
      </w:divBdr>
    </w:div>
    <w:div w:id="1643923853">
      <w:bodyDiv w:val="1"/>
      <w:marLeft w:val="0"/>
      <w:marRight w:val="0"/>
      <w:marTop w:val="0"/>
      <w:marBottom w:val="0"/>
      <w:divBdr>
        <w:top w:val="none" w:sz="0" w:space="0" w:color="auto"/>
        <w:left w:val="none" w:sz="0" w:space="0" w:color="auto"/>
        <w:bottom w:val="none" w:sz="0" w:space="0" w:color="auto"/>
        <w:right w:val="none" w:sz="0" w:space="0" w:color="auto"/>
      </w:divBdr>
    </w:div>
    <w:div w:id="17493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4</cp:revision>
  <cp:lastPrinted>2017-03-31T17:41:00Z</cp:lastPrinted>
  <dcterms:created xsi:type="dcterms:W3CDTF">2017-03-31T17:40:00Z</dcterms:created>
  <dcterms:modified xsi:type="dcterms:W3CDTF">2017-04-03T16:51:00Z</dcterms:modified>
</cp:coreProperties>
</file>